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DED16" w14:textId="2968CA5C" w:rsidR="008A1AE2" w:rsidRDefault="00444DED" w:rsidP="00E33848">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 xml:space="preserve">                                  </w:t>
      </w:r>
    </w:p>
    <w:p w14:paraId="225D19AB" w14:textId="77777777" w:rsidR="000360A6" w:rsidRDefault="008A1AE2" w:rsidP="00E33848">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 xml:space="preserve">                                   </w:t>
      </w:r>
    </w:p>
    <w:p w14:paraId="68AE8332" w14:textId="77777777" w:rsidR="00E33848" w:rsidRDefault="000360A6" w:rsidP="00E33848">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 xml:space="preserve">                                       </w:t>
      </w:r>
      <w:r w:rsidR="00E33848">
        <w:rPr>
          <w:rFonts w:ascii="Times New Roman,Bold" w:hAnsi="Times New Roman,Bold" w:cs="Times New Roman,Bold"/>
          <w:b/>
          <w:bCs/>
          <w:sz w:val="24"/>
          <w:szCs w:val="24"/>
        </w:rPr>
        <w:t>DUOMENYS APIE MOKYMO PROGRAMĄ</w:t>
      </w:r>
    </w:p>
    <w:p w14:paraId="09EBF959" w14:textId="77777777" w:rsidR="00E33848" w:rsidRDefault="00E33848" w:rsidP="00E33848">
      <w:pPr>
        <w:autoSpaceDE w:val="0"/>
        <w:autoSpaceDN w:val="0"/>
        <w:adjustRightInd w:val="0"/>
        <w:spacing w:after="0" w:line="240" w:lineRule="auto"/>
        <w:rPr>
          <w:rFonts w:ascii="Times New Roman,Bold" w:hAnsi="Times New Roman,Bold" w:cs="Times New Roman,Bold"/>
          <w:b/>
          <w:bCs/>
          <w:sz w:val="24"/>
          <w:szCs w:val="24"/>
        </w:rPr>
      </w:pPr>
    </w:p>
    <w:tbl>
      <w:tblPr>
        <w:tblStyle w:val="Lentelstinklelis"/>
        <w:tblW w:w="10908" w:type="dxa"/>
        <w:tblInd w:w="-1139" w:type="dxa"/>
        <w:tblLook w:val="04A0" w:firstRow="1" w:lastRow="0" w:firstColumn="1" w:lastColumn="0" w:noHBand="0" w:noVBand="1"/>
      </w:tblPr>
      <w:tblGrid>
        <w:gridCol w:w="5670"/>
        <w:gridCol w:w="5238"/>
      </w:tblGrid>
      <w:tr w:rsidR="00E33848" w14:paraId="326FEE70" w14:textId="77777777" w:rsidTr="004367C8">
        <w:tc>
          <w:tcPr>
            <w:tcW w:w="5670" w:type="dxa"/>
          </w:tcPr>
          <w:p w14:paraId="3CC97930" w14:textId="77777777" w:rsidR="00E33848" w:rsidRPr="00F65BEB" w:rsidRDefault="00E33848" w:rsidP="00E33848">
            <w:pPr>
              <w:autoSpaceDE w:val="0"/>
              <w:autoSpaceDN w:val="0"/>
              <w:adjustRightInd w:val="0"/>
              <w:rPr>
                <w:rFonts w:ascii="Times New Roman,Bold" w:hAnsi="Times New Roman,Bold" w:cs="Times New Roman,Bold"/>
                <w:b/>
                <w:bCs/>
                <w:sz w:val="24"/>
                <w:szCs w:val="24"/>
              </w:rPr>
            </w:pPr>
            <w:r w:rsidRPr="00F65BEB">
              <w:rPr>
                <w:rFonts w:ascii="Times New Roman,Italic" w:hAnsi="Times New Roman,Italic" w:cs="Times New Roman,Italic"/>
                <w:b/>
                <w:iCs/>
                <w:sz w:val="24"/>
                <w:szCs w:val="24"/>
              </w:rPr>
              <w:t>Duomenys apie mokymo programą</w:t>
            </w:r>
          </w:p>
        </w:tc>
        <w:tc>
          <w:tcPr>
            <w:tcW w:w="5238" w:type="dxa"/>
          </w:tcPr>
          <w:p w14:paraId="183B0693" w14:textId="77777777" w:rsidR="00E33848" w:rsidRPr="00F65BEB" w:rsidRDefault="00E33848" w:rsidP="00E33848">
            <w:pPr>
              <w:autoSpaceDE w:val="0"/>
              <w:autoSpaceDN w:val="0"/>
              <w:adjustRightInd w:val="0"/>
              <w:rPr>
                <w:rFonts w:ascii="Times New Roman,Italic" w:hAnsi="Times New Roman,Italic" w:cs="Times New Roman,Italic"/>
                <w:b/>
                <w:iCs/>
                <w:sz w:val="24"/>
                <w:szCs w:val="24"/>
              </w:rPr>
            </w:pPr>
            <w:r w:rsidRPr="00F65BEB">
              <w:rPr>
                <w:rFonts w:ascii="Times New Roman,Italic" w:hAnsi="Times New Roman,Italic" w:cs="Times New Roman,Italic"/>
                <w:b/>
                <w:iCs/>
                <w:sz w:val="24"/>
                <w:szCs w:val="24"/>
              </w:rPr>
              <w:t>Mokymo programos dalių aprašas</w:t>
            </w:r>
          </w:p>
          <w:p w14:paraId="2B77EA9A" w14:textId="77777777" w:rsidR="00E33848" w:rsidRPr="00F65BEB" w:rsidRDefault="00E33848" w:rsidP="00E33848">
            <w:pPr>
              <w:autoSpaceDE w:val="0"/>
              <w:autoSpaceDN w:val="0"/>
              <w:adjustRightInd w:val="0"/>
              <w:rPr>
                <w:rFonts w:ascii="Times New Roman,Bold" w:hAnsi="Times New Roman,Bold" w:cs="Times New Roman,Bold"/>
                <w:b/>
                <w:bCs/>
                <w:sz w:val="24"/>
                <w:szCs w:val="24"/>
              </w:rPr>
            </w:pPr>
          </w:p>
        </w:tc>
      </w:tr>
      <w:tr w:rsidR="00332F24" w:rsidRPr="00F902F8" w14:paraId="1581CC28" w14:textId="77777777" w:rsidTr="004367C8">
        <w:tc>
          <w:tcPr>
            <w:tcW w:w="5670" w:type="dxa"/>
          </w:tcPr>
          <w:p w14:paraId="0B1B0606" w14:textId="77777777" w:rsidR="00332F24" w:rsidRPr="00F902F8" w:rsidRDefault="00332F24" w:rsidP="00332F24">
            <w:pPr>
              <w:autoSpaceDE w:val="0"/>
              <w:autoSpaceDN w:val="0"/>
              <w:adjustRightInd w:val="0"/>
              <w:rPr>
                <w:rFonts w:ascii="Times New Roman" w:hAnsi="Times New Roman" w:cs="Times New Roman"/>
                <w:sz w:val="24"/>
                <w:szCs w:val="24"/>
              </w:rPr>
            </w:pPr>
            <w:r w:rsidRPr="00F902F8">
              <w:rPr>
                <w:rFonts w:ascii="Times New Roman" w:hAnsi="Times New Roman" w:cs="Times New Roman"/>
                <w:sz w:val="24"/>
                <w:szCs w:val="24"/>
              </w:rPr>
              <w:t>Mokymo programos pavadinimas</w:t>
            </w:r>
          </w:p>
          <w:p w14:paraId="26C2C4A9" w14:textId="77777777" w:rsidR="00332F24" w:rsidRPr="00F902F8" w:rsidRDefault="00332F24" w:rsidP="00332F24">
            <w:pPr>
              <w:autoSpaceDE w:val="0"/>
              <w:autoSpaceDN w:val="0"/>
              <w:adjustRightInd w:val="0"/>
              <w:rPr>
                <w:rFonts w:ascii="Times New Roman" w:hAnsi="Times New Roman" w:cs="Times New Roman"/>
                <w:b/>
                <w:bCs/>
                <w:sz w:val="24"/>
                <w:szCs w:val="24"/>
              </w:rPr>
            </w:pPr>
          </w:p>
        </w:tc>
        <w:tc>
          <w:tcPr>
            <w:tcW w:w="5238" w:type="dxa"/>
            <w:tcBorders>
              <w:top w:val="single" w:sz="4" w:space="0" w:color="000000"/>
              <w:left w:val="single" w:sz="4" w:space="0" w:color="000000"/>
              <w:bottom w:val="single" w:sz="4" w:space="0" w:color="000000"/>
              <w:right w:val="single" w:sz="4" w:space="0" w:color="000000"/>
            </w:tcBorders>
          </w:tcPr>
          <w:p w14:paraId="18FF4EE1" w14:textId="0BFC168F" w:rsidR="00332F24" w:rsidRPr="002C5138" w:rsidRDefault="008A5144" w:rsidP="00687F01">
            <w:pPr>
              <w:jc w:val="both"/>
              <w:rPr>
                <w:rFonts w:ascii="Times New Roman" w:hAnsi="Times New Roman" w:cs="Times New Roman"/>
                <w:sz w:val="24"/>
                <w:szCs w:val="24"/>
              </w:rPr>
            </w:pPr>
            <w:r>
              <w:rPr>
                <w:rFonts w:ascii="Times New Roman" w:hAnsi="Times New Roman" w:cs="Times New Roman"/>
                <w:sz w:val="24"/>
                <w:szCs w:val="24"/>
              </w:rPr>
              <w:t>Pieno supirkėjų kvalifikacijos tobulinimas</w:t>
            </w:r>
          </w:p>
        </w:tc>
      </w:tr>
      <w:tr w:rsidR="00332F24" w:rsidRPr="00F902F8" w14:paraId="161B017A" w14:textId="77777777" w:rsidTr="004367C8">
        <w:tc>
          <w:tcPr>
            <w:tcW w:w="5670" w:type="dxa"/>
          </w:tcPr>
          <w:p w14:paraId="2F81D9C6" w14:textId="77777777" w:rsidR="00332F24" w:rsidRPr="00F902F8" w:rsidRDefault="00332F24" w:rsidP="00332F24">
            <w:pPr>
              <w:autoSpaceDE w:val="0"/>
              <w:autoSpaceDN w:val="0"/>
              <w:adjustRightInd w:val="0"/>
              <w:rPr>
                <w:rFonts w:ascii="Times New Roman" w:hAnsi="Times New Roman" w:cs="Times New Roman"/>
                <w:sz w:val="24"/>
                <w:szCs w:val="24"/>
              </w:rPr>
            </w:pPr>
            <w:r w:rsidRPr="00F902F8">
              <w:rPr>
                <w:rFonts w:ascii="Times New Roman" w:hAnsi="Times New Roman" w:cs="Times New Roman"/>
                <w:sz w:val="24"/>
                <w:szCs w:val="24"/>
              </w:rPr>
              <w:t>Mokymo programos kodas</w:t>
            </w:r>
          </w:p>
          <w:p w14:paraId="238C4019" w14:textId="77777777" w:rsidR="00332F24" w:rsidRPr="00F902F8" w:rsidRDefault="00332F24" w:rsidP="00332F24">
            <w:pPr>
              <w:autoSpaceDE w:val="0"/>
              <w:autoSpaceDN w:val="0"/>
              <w:adjustRightInd w:val="0"/>
              <w:rPr>
                <w:rFonts w:ascii="Times New Roman" w:hAnsi="Times New Roman" w:cs="Times New Roman"/>
                <w:b/>
                <w:bCs/>
                <w:sz w:val="24"/>
                <w:szCs w:val="24"/>
              </w:rPr>
            </w:pPr>
          </w:p>
        </w:tc>
        <w:tc>
          <w:tcPr>
            <w:tcW w:w="5238" w:type="dxa"/>
            <w:tcBorders>
              <w:top w:val="single" w:sz="4" w:space="0" w:color="000000"/>
              <w:left w:val="single" w:sz="4" w:space="0" w:color="000000"/>
              <w:bottom w:val="single" w:sz="4" w:space="0" w:color="000000"/>
              <w:right w:val="single" w:sz="4" w:space="0" w:color="000000"/>
            </w:tcBorders>
          </w:tcPr>
          <w:p w14:paraId="5683B747" w14:textId="5D0EED2D" w:rsidR="00332F24" w:rsidRPr="002C5138" w:rsidRDefault="001A7EE1" w:rsidP="001A7EE1">
            <w:pPr>
              <w:spacing w:line="360" w:lineRule="auto"/>
              <w:rPr>
                <w:rFonts w:ascii="Times New Roman" w:hAnsi="Times New Roman" w:cs="Times New Roman"/>
                <w:sz w:val="24"/>
                <w:szCs w:val="24"/>
              </w:rPr>
            </w:pPr>
            <w:r w:rsidRPr="001A7EE1">
              <w:rPr>
                <w:rFonts w:ascii="Times New Roman" w:eastAsia="Aptos" w:hAnsi="Times New Roman" w:cs="Times New Roman"/>
                <w:kern w:val="2"/>
                <w:sz w:val="24"/>
                <w:szCs w:val="24"/>
                <w14:ligatures w14:val="standardContextual"/>
              </w:rPr>
              <w:t>50810007</w:t>
            </w:r>
          </w:p>
        </w:tc>
      </w:tr>
      <w:tr w:rsidR="00332F24" w:rsidRPr="00F902F8" w14:paraId="29C5BE80" w14:textId="77777777" w:rsidTr="004367C8">
        <w:tc>
          <w:tcPr>
            <w:tcW w:w="5670" w:type="dxa"/>
          </w:tcPr>
          <w:p w14:paraId="25146144" w14:textId="77777777" w:rsidR="00332F24" w:rsidRPr="00F902F8" w:rsidRDefault="00332F24" w:rsidP="00332F24">
            <w:pPr>
              <w:autoSpaceDE w:val="0"/>
              <w:autoSpaceDN w:val="0"/>
              <w:adjustRightInd w:val="0"/>
              <w:rPr>
                <w:rFonts w:ascii="Times New Roman" w:hAnsi="Times New Roman" w:cs="Times New Roman"/>
                <w:sz w:val="24"/>
                <w:szCs w:val="24"/>
              </w:rPr>
            </w:pPr>
            <w:r w:rsidRPr="00F902F8">
              <w:rPr>
                <w:rFonts w:ascii="Times New Roman" w:hAnsi="Times New Roman" w:cs="Times New Roman"/>
                <w:sz w:val="24"/>
                <w:szCs w:val="24"/>
              </w:rPr>
              <w:t>Mokymosi trukmė (akademinėmis valandomis)</w:t>
            </w:r>
          </w:p>
          <w:p w14:paraId="19E42D2C" w14:textId="77777777" w:rsidR="00332F24" w:rsidRPr="00F902F8" w:rsidRDefault="00332F24" w:rsidP="00332F24">
            <w:pPr>
              <w:autoSpaceDE w:val="0"/>
              <w:autoSpaceDN w:val="0"/>
              <w:adjustRightInd w:val="0"/>
              <w:rPr>
                <w:rFonts w:ascii="Times New Roman" w:hAnsi="Times New Roman" w:cs="Times New Roman"/>
                <w:b/>
                <w:bCs/>
                <w:sz w:val="24"/>
                <w:szCs w:val="24"/>
              </w:rPr>
            </w:pPr>
          </w:p>
        </w:tc>
        <w:tc>
          <w:tcPr>
            <w:tcW w:w="5238" w:type="dxa"/>
            <w:tcBorders>
              <w:top w:val="single" w:sz="4" w:space="0" w:color="000000"/>
              <w:left w:val="single" w:sz="4" w:space="0" w:color="000000"/>
              <w:bottom w:val="single" w:sz="4" w:space="0" w:color="000000"/>
              <w:right w:val="single" w:sz="4" w:space="0" w:color="000000"/>
            </w:tcBorders>
          </w:tcPr>
          <w:p w14:paraId="61A59EB0" w14:textId="2418F6B9" w:rsidR="00332F24" w:rsidRPr="002C5138" w:rsidRDefault="00560A59" w:rsidP="00FB536C">
            <w:pPr>
              <w:pStyle w:val="BasicParagraph"/>
            </w:pPr>
            <w:r>
              <w:t>16</w:t>
            </w:r>
            <w:r w:rsidR="004367C8" w:rsidRPr="002C5138">
              <w:t xml:space="preserve"> ak</w:t>
            </w:r>
            <w:r w:rsidR="002574E2" w:rsidRPr="002C5138">
              <w:t>ad</w:t>
            </w:r>
            <w:r w:rsidR="004367C8" w:rsidRPr="002C5138">
              <w:t>. val.</w:t>
            </w:r>
          </w:p>
        </w:tc>
      </w:tr>
      <w:tr w:rsidR="00332F24" w:rsidRPr="00F902F8" w14:paraId="5FEDBE73" w14:textId="77777777" w:rsidTr="004367C8">
        <w:tc>
          <w:tcPr>
            <w:tcW w:w="5670" w:type="dxa"/>
          </w:tcPr>
          <w:p w14:paraId="2229F1F1" w14:textId="107ADE45" w:rsidR="00332F24" w:rsidRPr="00F902F8" w:rsidRDefault="00332F24" w:rsidP="00332F24">
            <w:pPr>
              <w:autoSpaceDE w:val="0"/>
              <w:autoSpaceDN w:val="0"/>
              <w:adjustRightInd w:val="0"/>
              <w:rPr>
                <w:rFonts w:ascii="Times New Roman" w:hAnsi="Times New Roman" w:cs="Times New Roman"/>
                <w:sz w:val="24"/>
                <w:szCs w:val="24"/>
              </w:rPr>
            </w:pPr>
            <w:r w:rsidRPr="00F902F8">
              <w:rPr>
                <w:rFonts w:ascii="Times New Roman" w:hAnsi="Times New Roman" w:cs="Times New Roman"/>
                <w:sz w:val="24"/>
                <w:szCs w:val="24"/>
              </w:rPr>
              <w:t xml:space="preserve">Mokymo programos </w:t>
            </w:r>
            <w:r w:rsidR="0025117D">
              <w:rPr>
                <w:rFonts w:ascii="Times New Roman" w:hAnsi="Times New Roman" w:cs="Times New Roman"/>
                <w:sz w:val="24"/>
                <w:szCs w:val="24"/>
              </w:rPr>
              <w:t>suderinim</w:t>
            </w:r>
            <w:r w:rsidR="00AF2C10">
              <w:rPr>
                <w:rFonts w:ascii="Times New Roman" w:hAnsi="Times New Roman" w:cs="Times New Roman"/>
                <w:sz w:val="24"/>
                <w:szCs w:val="24"/>
              </w:rPr>
              <w:t>o</w:t>
            </w:r>
            <w:r w:rsidRPr="00F902F8">
              <w:rPr>
                <w:rFonts w:ascii="Times New Roman" w:hAnsi="Times New Roman" w:cs="Times New Roman"/>
                <w:sz w:val="24"/>
                <w:szCs w:val="24"/>
              </w:rPr>
              <w:t xml:space="preserve"> data</w:t>
            </w:r>
          </w:p>
          <w:p w14:paraId="3E33824B" w14:textId="77777777" w:rsidR="00332F24" w:rsidRPr="00F902F8" w:rsidRDefault="00332F24" w:rsidP="00332F24">
            <w:pPr>
              <w:autoSpaceDE w:val="0"/>
              <w:autoSpaceDN w:val="0"/>
              <w:adjustRightInd w:val="0"/>
              <w:rPr>
                <w:rFonts w:ascii="Times New Roman" w:hAnsi="Times New Roman" w:cs="Times New Roman"/>
                <w:b/>
                <w:bCs/>
                <w:sz w:val="24"/>
                <w:szCs w:val="24"/>
              </w:rPr>
            </w:pPr>
          </w:p>
        </w:tc>
        <w:tc>
          <w:tcPr>
            <w:tcW w:w="5238" w:type="dxa"/>
            <w:tcBorders>
              <w:top w:val="single" w:sz="4" w:space="0" w:color="000000"/>
              <w:left w:val="single" w:sz="4" w:space="0" w:color="000000"/>
              <w:bottom w:val="single" w:sz="4" w:space="0" w:color="000000"/>
              <w:right w:val="single" w:sz="4" w:space="0" w:color="000000"/>
            </w:tcBorders>
          </w:tcPr>
          <w:p w14:paraId="34454322" w14:textId="77777777" w:rsidR="00527043" w:rsidRDefault="007651BC" w:rsidP="00527043">
            <w:pPr>
              <w:suppressAutoHyphens/>
              <w:autoSpaceDE w:val="0"/>
              <w:autoSpaceDN w:val="0"/>
              <w:adjustRightInd w:val="0"/>
              <w:jc w:val="both"/>
              <w:textAlignment w:val="center"/>
              <w:rPr>
                <w:rFonts w:ascii="Times New Roman" w:hAnsi="Times New Roman"/>
                <w:sz w:val="24"/>
                <w:szCs w:val="24"/>
              </w:rPr>
            </w:pPr>
            <w:r>
              <w:rPr>
                <w:rFonts w:ascii="Times New Roman" w:hAnsi="Times New Roman"/>
                <w:sz w:val="24"/>
                <w:szCs w:val="24"/>
              </w:rPr>
              <w:t>Valstybin</w:t>
            </w:r>
            <w:r w:rsidR="000773C3">
              <w:rPr>
                <w:rFonts w:ascii="Times New Roman" w:hAnsi="Times New Roman"/>
                <w:sz w:val="24"/>
                <w:szCs w:val="24"/>
              </w:rPr>
              <w:t>ė</w:t>
            </w:r>
            <w:r>
              <w:rPr>
                <w:rFonts w:ascii="Times New Roman" w:hAnsi="Times New Roman"/>
                <w:sz w:val="24"/>
                <w:szCs w:val="24"/>
              </w:rPr>
              <w:t xml:space="preserve"> maisto ir veterinarijos tarnyba</w:t>
            </w:r>
          </w:p>
          <w:p w14:paraId="3176556B" w14:textId="25597692" w:rsidR="00F06C65" w:rsidRDefault="007651BC" w:rsidP="00527043">
            <w:pPr>
              <w:suppressAutoHyphens/>
              <w:autoSpaceDE w:val="0"/>
              <w:autoSpaceDN w:val="0"/>
              <w:adjustRightInd w:val="0"/>
              <w:jc w:val="both"/>
              <w:textAlignment w:val="center"/>
              <w:rPr>
                <w:rFonts w:ascii="Times New Roman" w:hAnsi="Times New Roman"/>
                <w:sz w:val="24"/>
                <w:szCs w:val="24"/>
              </w:rPr>
            </w:pPr>
            <w:r>
              <w:rPr>
                <w:rFonts w:ascii="Times New Roman" w:hAnsi="Times New Roman"/>
                <w:sz w:val="24"/>
                <w:szCs w:val="24"/>
              </w:rPr>
              <w:t>202</w:t>
            </w:r>
            <w:r w:rsidR="001A7EE1">
              <w:rPr>
                <w:rFonts w:ascii="Times New Roman" w:hAnsi="Times New Roman"/>
                <w:sz w:val="24"/>
                <w:szCs w:val="24"/>
              </w:rPr>
              <w:t>5-</w:t>
            </w:r>
            <w:r>
              <w:rPr>
                <w:rFonts w:ascii="Times New Roman" w:hAnsi="Times New Roman"/>
                <w:sz w:val="24"/>
                <w:szCs w:val="24"/>
              </w:rPr>
              <w:t>03-</w:t>
            </w:r>
            <w:r w:rsidR="006E4A25">
              <w:rPr>
                <w:rFonts w:ascii="Times New Roman" w:hAnsi="Times New Roman"/>
                <w:sz w:val="24"/>
                <w:szCs w:val="24"/>
              </w:rPr>
              <w:t>26</w:t>
            </w:r>
          </w:p>
          <w:p w14:paraId="45AB1F79" w14:textId="77777777" w:rsidR="00527043" w:rsidRDefault="00884CBF" w:rsidP="00527043">
            <w:pPr>
              <w:suppressAutoHyphens/>
              <w:autoSpaceDE w:val="0"/>
              <w:autoSpaceDN w:val="0"/>
              <w:adjustRightInd w:val="0"/>
              <w:jc w:val="both"/>
              <w:textAlignment w:val="center"/>
              <w:rPr>
                <w:rFonts w:ascii="Times New Roman" w:eastAsia="Times New Roman" w:hAnsi="Times New Roman" w:cs="Times New Roman"/>
                <w:sz w:val="24"/>
                <w:szCs w:val="24"/>
              </w:rPr>
            </w:pPr>
            <w:r w:rsidRPr="00884CBF">
              <w:rPr>
                <w:rFonts w:ascii="Times New Roman" w:eastAsia="Times New Roman" w:hAnsi="Times New Roman" w:cs="Times New Roman"/>
                <w:sz w:val="24"/>
                <w:szCs w:val="24"/>
              </w:rPr>
              <w:t>Lietuvos Respublikos žemės ūkio minist</w:t>
            </w:r>
            <w:r>
              <w:rPr>
                <w:rFonts w:ascii="Times New Roman" w:eastAsia="Times New Roman" w:hAnsi="Times New Roman" w:cs="Times New Roman"/>
                <w:sz w:val="24"/>
                <w:szCs w:val="24"/>
              </w:rPr>
              <w:t>erij</w:t>
            </w:r>
            <w:r w:rsidR="003B5CB0">
              <w:rPr>
                <w:rFonts w:ascii="Times New Roman" w:eastAsia="Times New Roman" w:hAnsi="Times New Roman" w:cs="Times New Roman"/>
                <w:sz w:val="24"/>
                <w:szCs w:val="24"/>
              </w:rPr>
              <w:t>a</w:t>
            </w:r>
          </w:p>
          <w:p w14:paraId="591A459F" w14:textId="54CA762B" w:rsidR="00332F24" w:rsidRPr="002C5138" w:rsidRDefault="002C5138" w:rsidP="00527043">
            <w:pPr>
              <w:suppressAutoHyphens/>
              <w:autoSpaceDE w:val="0"/>
              <w:autoSpaceDN w:val="0"/>
              <w:adjustRightInd w:val="0"/>
              <w:jc w:val="both"/>
              <w:textAlignment w:val="center"/>
              <w:rPr>
                <w:rFonts w:ascii="Times New Roman" w:hAnsi="Times New Roman"/>
                <w:sz w:val="24"/>
                <w:szCs w:val="24"/>
              </w:rPr>
            </w:pPr>
            <w:r w:rsidRPr="002C5138">
              <w:rPr>
                <w:rFonts w:ascii="Times New Roman" w:hAnsi="Times New Roman"/>
                <w:sz w:val="24"/>
                <w:szCs w:val="24"/>
              </w:rPr>
              <w:t>202</w:t>
            </w:r>
            <w:r w:rsidR="006E4A25">
              <w:rPr>
                <w:rFonts w:ascii="Times New Roman" w:hAnsi="Times New Roman"/>
                <w:sz w:val="24"/>
                <w:szCs w:val="24"/>
              </w:rPr>
              <w:t>5</w:t>
            </w:r>
            <w:r w:rsidRPr="002C5138">
              <w:rPr>
                <w:rFonts w:ascii="Times New Roman" w:hAnsi="Times New Roman"/>
                <w:sz w:val="24"/>
                <w:szCs w:val="24"/>
              </w:rPr>
              <w:t>-</w:t>
            </w:r>
            <w:r w:rsidR="00AF2C10">
              <w:rPr>
                <w:rFonts w:ascii="Times New Roman" w:hAnsi="Times New Roman"/>
                <w:sz w:val="24"/>
                <w:szCs w:val="24"/>
              </w:rPr>
              <w:t>0</w:t>
            </w:r>
            <w:r w:rsidR="00F06C65">
              <w:rPr>
                <w:rFonts w:ascii="Times New Roman" w:hAnsi="Times New Roman"/>
                <w:sz w:val="24"/>
                <w:szCs w:val="24"/>
              </w:rPr>
              <w:t>4</w:t>
            </w:r>
            <w:r w:rsidR="00AF2C10">
              <w:rPr>
                <w:rFonts w:ascii="Times New Roman" w:hAnsi="Times New Roman"/>
                <w:sz w:val="24"/>
                <w:szCs w:val="24"/>
              </w:rPr>
              <w:t>-</w:t>
            </w:r>
            <w:r w:rsidR="006E4A25">
              <w:rPr>
                <w:rFonts w:ascii="Times New Roman" w:hAnsi="Times New Roman"/>
                <w:sz w:val="24"/>
                <w:szCs w:val="24"/>
              </w:rPr>
              <w:t>02</w:t>
            </w:r>
          </w:p>
        </w:tc>
      </w:tr>
      <w:tr w:rsidR="00332F24" w:rsidRPr="00F902F8" w14:paraId="1C1B31B0" w14:textId="77777777" w:rsidTr="004367C8">
        <w:tc>
          <w:tcPr>
            <w:tcW w:w="5670" w:type="dxa"/>
          </w:tcPr>
          <w:p w14:paraId="3EB02BE0" w14:textId="012055CA" w:rsidR="00332F24" w:rsidRPr="00F902F8" w:rsidRDefault="00332F24" w:rsidP="00332F24">
            <w:pPr>
              <w:autoSpaceDE w:val="0"/>
              <w:autoSpaceDN w:val="0"/>
              <w:adjustRightInd w:val="0"/>
              <w:rPr>
                <w:rFonts w:ascii="Times New Roman" w:hAnsi="Times New Roman" w:cs="Times New Roman"/>
                <w:sz w:val="24"/>
                <w:szCs w:val="24"/>
              </w:rPr>
            </w:pPr>
            <w:r w:rsidRPr="00F902F8">
              <w:rPr>
                <w:rFonts w:ascii="Times New Roman" w:hAnsi="Times New Roman" w:cs="Times New Roman"/>
                <w:sz w:val="24"/>
                <w:szCs w:val="24"/>
              </w:rPr>
              <w:t>Mokymo program</w:t>
            </w:r>
            <w:r w:rsidR="005B1331">
              <w:rPr>
                <w:rFonts w:ascii="Times New Roman" w:hAnsi="Times New Roman" w:cs="Times New Roman"/>
                <w:sz w:val="24"/>
                <w:szCs w:val="24"/>
              </w:rPr>
              <w:t>os</w:t>
            </w:r>
            <w:r w:rsidRPr="00F902F8">
              <w:rPr>
                <w:rFonts w:ascii="Times New Roman" w:hAnsi="Times New Roman" w:cs="Times New Roman"/>
                <w:sz w:val="24"/>
                <w:szCs w:val="24"/>
              </w:rPr>
              <w:t xml:space="preserve"> rengėjas (juridinio asmens</w:t>
            </w:r>
          </w:p>
          <w:p w14:paraId="07901203" w14:textId="77777777" w:rsidR="00332F24" w:rsidRPr="00F902F8" w:rsidRDefault="00332F24" w:rsidP="00332F24">
            <w:pPr>
              <w:autoSpaceDE w:val="0"/>
              <w:autoSpaceDN w:val="0"/>
              <w:adjustRightInd w:val="0"/>
              <w:rPr>
                <w:rFonts w:ascii="Times New Roman" w:hAnsi="Times New Roman" w:cs="Times New Roman"/>
                <w:b/>
                <w:bCs/>
                <w:sz w:val="24"/>
                <w:szCs w:val="24"/>
              </w:rPr>
            </w:pPr>
            <w:r w:rsidRPr="00F902F8">
              <w:rPr>
                <w:rFonts w:ascii="Times New Roman" w:hAnsi="Times New Roman" w:cs="Times New Roman"/>
                <w:sz w:val="24"/>
                <w:szCs w:val="24"/>
              </w:rPr>
              <w:t>pavadinimas arba fizinio asmens vardas, pavardė, pareigos)</w:t>
            </w:r>
          </w:p>
        </w:tc>
        <w:tc>
          <w:tcPr>
            <w:tcW w:w="5238" w:type="dxa"/>
            <w:tcBorders>
              <w:top w:val="single" w:sz="4" w:space="0" w:color="000000"/>
              <w:left w:val="single" w:sz="4" w:space="0" w:color="000000"/>
              <w:bottom w:val="single" w:sz="4" w:space="0" w:color="000000"/>
              <w:right w:val="single" w:sz="4" w:space="0" w:color="000000"/>
            </w:tcBorders>
          </w:tcPr>
          <w:p w14:paraId="3D0FA434" w14:textId="4239AF30" w:rsidR="00E32691" w:rsidRPr="00F902F8" w:rsidRDefault="00EF2982" w:rsidP="006E4A25">
            <w:pPr>
              <w:rPr>
                <w:rFonts w:ascii="Times New Roman" w:hAnsi="Times New Roman" w:cs="Times New Roman"/>
                <w:sz w:val="24"/>
                <w:szCs w:val="24"/>
              </w:rPr>
            </w:pPr>
            <w:r w:rsidRPr="00EF2982">
              <w:rPr>
                <w:rFonts w:ascii="Times New Roman" w:eastAsia="Times New Roman" w:hAnsi="Times New Roman" w:cs="Times New Roman"/>
                <w:sz w:val="24"/>
                <w:szCs w:val="24"/>
              </w:rPr>
              <w:t>Lietuvos sveikatos mokslų universiteto</w:t>
            </w:r>
            <w:r w:rsidR="006E4A25">
              <w:rPr>
                <w:rFonts w:ascii="Times New Roman" w:eastAsia="Times New Roman" w:hAnsi="Times New Roman" w:cs="Times New Roman"/>
                <w:sz w:val="24"/>
                <w:szCs w:val="24"/>
              </w:rPr>
              <w:t xml:space="preserve"> </w:t>
            </w:r>
            <w:r w:rsidRPr="00EF2982">
              <w:rPr>
                <w:rFonts w:ascii="Times New Roman" w:eastAsia="Times New Roman" w:hAnsi="Times New Roman" w:cs="Times New Roman"/>
                <w:sz w:val="24"/>
                <w:szCs w:val="24"/>
              </w:rPr>
              <w:t>Gyvūnų auginimo technologijų instituto docentas</w:t>
            </w:r>
            <w:r w:rsidR="006E4A25">
              <w:rPr>
                <w:rFonts w:ascii="Times New Roman" w:eastAsia="Times New Roman" w:hAnsi="Times New Roman" w:cs="Times New Roman"/>
                <w:sz w:val="24"/>
                <w:szCs w:val="24"/>
              </w:rPr>
              <w:t xml:space="preserve"> </w:t>
            </w:r>
            <w:r w:rsidRPr="00EF2982">
              <w:rPr>
                <w:rFonts w:ascii="Times New Roman" w:eastAsia="Times New Roman" w:hAnsi="Times New Roman" w:cs="Times New Roman"/>
                <w:sz w:val="24"/>
                <w:szCs w:val="24"/>
              </w:rPr>
              <w:t xml:space="preserve">Josifo Taco pienininkystės centro vadovas </w:t>
            </w:r>
            <w:r w:rsidR="006E4A25">
              <w:rPr>
                <w:rFonts w:ascii="Times New Roman" w:eastAsia="Times New Roman" w:hAnsi="Times New Roman" w:cs="Times New Roman"/>
                <w:sz w:val="24"/>
                <w:szCs w:val="24"/>
              </w:rPr>
              <w:t xml:space="preserve"> </w:t>
            </w:r>
            <w:r w:rsidRPr="00EF2982">
              <w:rPr>
                <w:rFonts w:ascii="Times New Roman" w:eastAsia="Times New Roman" w:hAnsi="Times New Roman" w:cs="Times New Roman"/>
                <w:sz w:val="24"/>
                <w:szCs w:val="24"/>
              </w:rPr>
              <w:t>Dr. Saulius Tušas</w:t>
            </w:r>
          </w:p>
        </w:tc>
      </w:tr>
      <w:tr w:rsidR="00332F24" w:rsidRPr="00F902F8" w14:paraId="7722FC30" w14:textId="77777777" w:rsidTr="004367C8">
        <w:tc>
          <w:tcPr>
            <w:tcW w:w="5670" w:type="dxa"/>
          </w:tcPr>
          <w:p w14:paraId="5A4DFBC3" w14:textId="77777777" w:rsidR="00332F24" w:rsidRPr="00F902F8" w:rsidRDefault="00332F24" w:rsidP="00332F24">
            <w:pPr>
              <w:autoSpaceDE w:val="0"/>
              <w:autoSpaceDN w:val="0"/>
              <w:adjustRightInd w:val="0"/>
              <w:jc w:val="both"/>
              <w:rPr>
                <w:rFonts w:ascii="Times New Roman" w:hAnsi="Times New Roman" w:cs="Times New Roman"/>
                <w:b/>
                <w:bCs/>
                <w:sz w:val="24"/>
                <w:szCs w:val="24"/>
              </w:rPr>
            </w:pPr>
            <w:r w:rsidRPr="00F902F8">
              <w:rPr>
                <w:rFonts w:ascii="Times New Roman" w:hAnsi="Times New Roman" w:cs="Times New Roman"/>
                <w:sz w:val="24"/>
                <w:szCs w:val="24"/>
              </w:rPr>
              <w:t>Mokymo programos paskirtis (tikslas, reikalavimai klausytojams, specialieji reikalavimai, apribojimai ir kt.)</w:t>
            </w:r>
          </w:p>
        </w:tc>
        <w:tc>
          <w:tcPr>
            <w:tcW w:w="5238" w:type="dxa"/>
            <w:tcBorders>
              <w:top w:val="single" w:sz="4" w:space="0" w:color="000000"/>
              <w:left w:val="single" w:sz="4" w:space="0" w:color="000000"/>
              <w:bottom w:val="single" w:sz="4" w:space="0" w:color="000000"/>
              <w:right w:val="single" w:sz="4" w:space="0" w:color="000000"/>
            </w:tcBorders>
          </w:tcPr>
          <w:p w14:paraId="7CC044F9" w14:textId="4754F19C" w:rsidR="00332F24" w:rsidRPr="008B313A" w:rsidRDefault="00C370A2" w:rsidP="0023532A">
            <w:pPr>
              <w:tabs>
                <w:tab w:val="left" w:pos="709"/>
                <w:tab w:val="left" w:pos="993"/>
              </w:tabs>
              <w:jc w:val="both"/>
              <w:rPr>
                <w:rFonts w:ascii="Times New Roman" w:hAnsi="Times New Roman" w:cs="Times New Roman"/>
                <w:sz w:val="24"/>
                <w:szCs w:val="24"/>
              </w:rPr>
            </w:pPr>
            <w:r>
              <w:rPr>
                <w:rFonts w:ascii="Times New Roman" w:hAnsi="Times New Roman" w:cs="Times New Roman"/>
                <w:sz w:val="24"/>
                <w:szCs w:val="24"/>
              </w:rPr>
              <w:t>T</w:t>
            </w:r>
            <w:r w:rsidRPr="00C370A2">
              <w:rPr>
                <w:rFonts w:ascii="Times New Roman" w:hAnsi="Times New Roman" w:cs="Times New Roman"/>
                <w:sz w:val="24"/>
                <w:szCs w:val="24"/>
              </w:rPr>
              <w:t>obulinti pieno supirkėjų kvalifikaciją</w:t>
            </w:r>
            <w:r>
              <w:rPr>
                <w:rFonts w:ascii="Times New Roman" w:hAnsi="Times New Roman" w:cs="Times New Roman"/>
                <w:sz w:val="24"/>
                <w:szCs w:val="24"/>
              </w:rPr>
              <w:t>,</w:t>
            </w:r>
            <w:r w:rsidRPr="00C370A2">
              <w:rPr>
                <w:rFonts w:ascii="Times New Roman" w:hAnsi="Times New Roman" w:cs="Times New Roman"/>
                <w:sz w:val="24"/>
                <w:szCs w:val="24"/>
              </w:rPr>
              <w:t xml:space="preserve"> užtikrinant saugų, tinkamą pieno mėginių paėmimą, saugojimą ir pristatymą.</w:t>
            </w:r>
          </w:p>
        </w:tc>
      </w:tr>
      <w:tr w:rsidR="00332F24" w:rsidRPr="00F902F8" w14:paraId="0F7BD7FA" w14:textId="77777777" w:rsidTr="004367C8">
        <w:tc>
          <w:tcPr>
            <w:tcW w:w="5670" w:type="dxa"/>
          </w:tcPr>
          <w:p w14:paraId="1431C7D5" w14:textId="77777777" w:rsidR="00332F24" w:rsidRPr="00F902F8" w:rsidRDefault="00332F24" w:rsidP="00332F24">
            <w:pPr>
              <w:autoSpaceDE w:val="0"/>
              <w:autoSpaceDN w:val="0"/>
              <w:adjustRightInd w:val="0"/>
              <w:rPr>
                <w:rFonts w:ascii="Times New Roman" w:hAnsi="Times New Roman" w:cs="Times New Roman"/>
                <w:sz w:val="24"/>
                <w:szCs w:val="24"/>
              </w:rPr>
            </w:pPr>
            <w:r w:rsidRPr="00F902F8">
              <w:rPr>
                <w:rFonts w:ascii="Times New Roman" w:hAnsi="Times New Roman" w:cs="Times New Roman"/>
                <w:sz w:val="24"/>
                <w:szCs w:val="24"/>
              </w:rPr>
              <w:t>Įgyjami gebėjimai (kompetencijos)</w:t>
            </w:r>
          </w:p>
          <w:p w14:paraId="54CBFCBC" w14:textId="77777777" w:rsidR="00332F24" w:rsidRPr="00F902F8" w:rsidRDefault="00332F24" w:rsidP="00332F24">
            <w:pPr>
              <w:autoSpaceDE w:val="0"/>
              <w:autoSpaceDN w:val="0"/>
              <w:adjustRightInd w:val="0"/>
              <w:rPr>
                <w:rFonts w:ascii="Times New Roman" w:hAnsi="Times New Roman" w:cs="Times New Roman"/>
                <w:b/>
                <w:bCs/>
                <w:sz w:val="24"/>
                <w:szCs w:val="24"/>
              </w:rPr>
            </w:pPr>
          </w:p>
        </w:tc>
        <w:tc>
          <w:tcPr>
            <w:tcW w:w="5238" w:type="dxa"/>
            <w:tcBorders>
              <w:top w:val="single" w:sz="4" w:space="0" w:color="000000"/>
              <w:left w:val="single" w:sz="4" w:space="0" w:color="000000"/>
              <w:bottom w:val="single" w:sz="4" w:space="0" w:color="000000"/>
              <w:right w:val="single" w:sz="4" w:space="0" w:color="000000"/>
            </w:tcBorders>
          </w:tcPr>
          <w:p w14:paraId="0FA5295B" w14:textId="77777777" w:rsidR="000356F5" w:rsidRDefault="00AD5266" w:rsidP="000356F5">
            <w:pPr>
              <w:suppressAutoHyphens/>
              <w:autoSpaceDE w:val="0"/>
              <w:autoSpaceDN w:val="0"/>
              <w:adjustRightInd w:val="0"/>
              <w:ind w:left="34" w:hanging="34"/>
              <w:jc w:val="both"/>
              <w:textAlignment w:val="center"/>
              <w:rPr>
                <w:rFonts w:ascii="Times New Roman" w:eastAsia="Times New Roman" w:hAnsi="Times New Roman" w:cs="Times New Roman"/>
                <w:iCs/>
                <w:color w:val="000000"/>
                <w:sz w:val="24"/>
                <w:szCs w:val="20"/>
              </w:rPr>
            </w:pPr>
            <w:r w:rsidRPr="00AD5266">
              <w:rPr>
                <w:rFonts w:ascii="Times New Roman" w:eastAsia="Times New Roman" w:hAnsi="Times New Roman" w:cs="Times New Roman"/>
                <w:bCs/>
                <w:sz w:val="24"/>
                <w:szCs w:val="24"/>
              </w:rPr>
              <w:t>Baigęs mokymo kursą pagal mokymo programą, dalyvis turi žinoti:</w:t>
            </w:r>
            <w:r>
              <w:rPr>
                <w:rFonts w:ascii="Times New Roman" w:eastAsia="Times New Roman" w:hAnsi="Times New Roman" w:cs="Times New Roman"/>
                <w:bCs/>
                <w:sz w:val="24"/>
                <w:szCs w:val="24"/>
              </w:rPr>
              <w:t xml:space="preserve"> </w:t>
            </w:r>
            <w:r w:rsidRPr="00AD5266">
              <w:rPr>
                <w:rFonts w:ascii="Times New Roman" w:eastAsia="Times New Roman" w:hAnsi="Times New Roman" w:cs="Times New Roman"/>
                <w:bCs/>
                <w:sz w:val="24"/>
                <w:szCs w:val="24"/>
              </w:rPr>
              <w:t>teisės aktus, reglamentuojančius pieno supirkimą;</w:t>
            </w:r>
            <w:r>
              <w:rPr>
                <w:rFonts w:ascii="Times New Roman" w:eastAsia="Times New Roman" w:hAnsi="Times New Roman" w:cs="Times New Roman"/>
                <w:bCs/>
                <w:sz w:val="24"/>
                <w:szCs w:val="24"/>
              </w:rPr>
              <w:t xml:space="preserve"> b</w:t>
            </w:r>
            <w:r w:rsidRPr="00AD5266">
              <w:rPr>
                <w:rFonts w:ascii="Times New Roman" w:eastAsia="Times New Roman" w:hAnsi="Times New Roman" w:cs="Times New Roman"/>
                <w:iCs/>
                <w:color w:val="000000"/>
                <w:sz w:val="24"/>
                <w:szCs w:val="20"/>
              </w:rPr>
              <w:t>endruosius higienos reikalavimus pieno ūkiams, pieno supirkimo punktams ir perdirbimo įmonėms;</w:t>
            </w:r>
            <w:r>
              <w:rPr>
                <w:rFonts w:ascii="Times New Roman" w:eastAsia="Times New Roman" w:hAnsi="Times New Roman" w:cs="Times New Roman"/>
                <w:iCs/>
                <w:color w:val="000000"/>
                <w:sz w:val="24"/>
                <w:szCs w:val="20"/>
              </w:rPr>
              <w:t xml:space="preserve"> </w:t>
            </w:r>
            <w:r w:rsidRPr="00AD5266">
              <w:rPr>
                <w:rFonts w:ascii="Times New Roman" w:eastAsia="Times New Roman" w:hAnsi="Times New Roman" w:cs="Times New Roman"/>
                <w:iCs/>
                <w:color w:val="000000"/>
                <w:sz w:val="24"/>
                <w:szCs w:val="20"/>
              </w:rPr>
              <w:t>sanitarines priemones pieno aušinimo ir laikymo įrangos priežiūrai</w:t>
            </w:r>
            <w:r w:rsidR="00534399">
              <w:rPr>
                <w:rFonts w:ascii="Times New Roman" w:eastAsia="Times New Roman" w:hAnsi="Times New Roman" w:cs="Times New Roman"/>
                <w:iCs/>
                <w:color w:val="000000"/>
                <w:sz w:val="24"/>
                <w:szCs w:val="20"/>
              </w:rPr>
              <w:t xml:space="preserve">; </w:t>
            </w:r>
            <w:r w:rsidRPr="00AD5266">
              <w:rPr>
                <w:rFonts w:ascii="Times New Roman" w:eastAsia="Times New Roman" w:hAnsi="Times New Roman" w:cs="Times New Roman"/>
                <w:iCs/>
                <w:color w:val="000000"/>
                <w:sz w:val="24"/>
                <w:szCs w:val="20"/>
              </w:rPr>
              <w:t>aplinkos ir darbo saugos reikalavimus superkant pieną;</w:t>
            </w:r>
            <w:r w:rsidR="00534399">
              <w:rPr>
                <w:rFonts w:ascii="Times New Roman" w:eastAsia="Times New Roman" w:hAnsi="Times New Roman" w:cs="Times New Roman"/>
                <w:iCs/>
                <w:color w:val="000000"/>
                <w:sz w:val="24"/>
                <w:szCs w:val="20"/>
              </w:rPr>
              <w:t xml:space="preserve"> </w:t>
            </w:r>
            <w:r w:rsidRPr="00AD5266">
              <w:rPr>
                <w:rFonts w:ascii="Times New Roman" w:eastAsia="Times New Roman" w:hAnsi="Times New Roman" w:cs="Times New Roman"/>
                <w:iCs/>
                <w:color w:val="000000"/>
                <w:sz w:val="24"/>
                <w:szCs w:val="20"/>
              </w:rPr>
              <w:t>pieno pristatymo į stacionarų pieno supirkimo punktą reikalavimus;</w:t>
            </w:r>
            <w:r w:rsidR="00534399">
              <w:rPr>
                <w:rFonts w:ascii="Times New Roman" w:eastAsia="Times New Roman" w:hAnsi="Times New Roman" w:cs="Times New Roman"/>
                <w:iCs/>
                <w:color w:val="000000"/>
                <w:sz w:val="24"/>
                <w:szCs w:val="20"/>
              </w:rPr>
              <w:t xml:space="preserve"> </w:t>
            </w:r>
            <w:r w:rsidRPr="00AD5266">
              <w:rPr>
                <w:rFonts w:ascii="Times New Roman" w:eastAsia="Times New Roman" w:hAnsi="Times New Roman" w:cs="Times New Roman"/>
                <w:iCs/>
                <w:color w:val="000000"/>
                <w:sz w:val="24"/>
                <w:szCs w:val="20"/>
              </w:rPr>
              <w:t>superkamo žalio pieno kiekio nustatymo reikalavimus;</w:t>
            </w:r>
            <w:r w:rsidR="00534399">
              <w:rPr>
                <w:rFonts w:ascii="Times New Roman" w:eastAsia="Times New Roman" w:hAnsi="Times New Roman" w:cs="Times New Roman"/>
                <w:iCs/>
                <w:color w:val="000000"/>
                <w:sz w:val="24"/>
                <w:szCs w:val="20"/>
              </w:rPr>
              <w:t xml:space="preserve"> </w:t>
            </w:r>
            <w:r w:rsidRPr="00AD5266">
              <w:rPr>
                <w:rFonts w:ascii="Times New Roman" w:eastAsia="Times New Roman" w:hAnsi="Times New Roman" w:cs="Times New Roman"/>
                <w:iCs/>
                <w:color w:val="000000"/>
                <w:sz w:val="24"/>
                <w:szCs w:val="20"/>
              </w:rPr>
              <w:t xml:space="preserve">žalio pieno kiekio perskaičiavimo </w:t>
            </w:r>
            <w:r w:rsidRPr="00AD5266">
              <w:rPr>
                <w:rFonts w:ascii="Times New Roman" w:eastAsia="Times New Roman" w:hAnsi="Times New Roman" w:cs="Times New Roman"/>
                <w:color w:val="000000"/>
                <w:sz w:val="24"/>
                <w:szCs w:val="20"/>
              </w:rPr>
              <w:t>pagal bazinius sudėties rodiklius (riebumą ir baltymingumą) į bazinį pieno kiekį metodiką;</w:t>
            </w:r>
            <w:r w:rsidR="00534399">
              <w:rPr>
                <w:rFonts w:ascii="Times New Roman" w:eastAsia="Times New Roman" w:hAnsi="Times New Roman" w:cs="Times New Roman"/>
                <w:color w:val="000000"/>
                <w:sz w:val="24"/>
                <w:szCs w:val="20"/>
              </w:rPr>
              <w:t xml:space="preserve"> </w:t>
            </w:r>
            <w:r w:rsidRPr="00AD5266">
              <w:rPr>
                <w:rFonts w:ascii="Times New Roman" w:eastAsia="Times New Roman" w:hAnsi="Times New Roman" w:cs="Times New Roman"/>
                <w:iCs/>
                <w:color w:val="000000"/>
                <w:sz w:val="24"/>
                <w:szCs w:val="20"/>
              </w:rPr>
              <w:t>pieno ydas, fizinę ir cheminę sudėtį;</w:t>
            </w:r>
            <w:r w:rsidR="00534399">
              <w:rPr>
                <w:rFonts w:ascii="Times New Roman" w:eastAsia="Times New Roman" w:hAnsi="Times New Roman" w:cs="Times New Roman"/>
                <w:iCs/>
                <w:color w:val="000000"/>
                <w:sz w:val="24"/>
                <w:szCs w:val="20"/>
              </w:rPr>
              <w:t xml:space="preserve"> </w:t>
            </w:r>
            <w:r w:rsidRPr="00AD5266">
              <w:rPr>
                <w:rFonts w:ascii="Times New Roman" w:eastAsia="Times New Roman" w:hAnsi="Times New Roman" w:cs="Times New Roman"/>
                <w:iCs/>
                <w:color w:val="000000"/>
                <w:sz w:val="24"/>
                <w:szCs w:val="20"/>
              </w:rPr>
              <w:t xml:space="preserve"> pieno mikroflorą;</w:t>
            </w:r>
            <w:r w:rsidR="00534399">
              <w:rPr>
                <w:rFonts w:ascii="Times New Roman" w:eastAsia="Times New Roman" w:hAnsi="Times New Roman" w:cs="Times New Roman"/>
                <w:iCs/>
                <w:color w:val="000000"/>
                <w:sz w:val="24"/>
                <w:szCs w:val="20"/>
              </w:rPr>
              <w:t xml:space="preserve"> </w:t>
            </w:r>
            <w:r w:rsidRPr="00AD5266">
              <w:rPr>
                <w:rFonts w:ascii="Times New Roman" w:eastAsia="Times New Roman" w:hAnsi="Times New Roman" w:cs="Times New Roman"/>
                <w:iCs/>
                <w:color w:val="000000"/>
                <w:sz w:val="24"/>
                <w:szCs w:val="20"/>
              </w:rPr>
              <w:t>– žalio pieno pirminių kokybės rodiklių reikšmę ir jų įvertinimo reikalavimus;  pieno sudėties ir kokybės privalomuosius tyrimus ir jų periodiškumą; papildomųjų pieno mėginių ėmimo tvarką;</w:t>
            </w:r>
            <w:r w:rsidR="00534399">
              <w:rPr>
                <w:rFonts w:ascii="Times New Roman" w:eastAsia="Times New Roman" w:hAnsi="Times New Roman" w:cs="Times New Roman"/>
                <w:iCs/>
                <w:color w:val="000000"/>
                <w:sz w:val="24"/>
                <w:szCs w:val="20"/>
              </w:rPr>
              <w:t xml:space="preserve"> </w:t>
            </w:r>
            <w:r w:rsidRPr="00AD5266">
              <w:rPr>
                <w:rFonts w:ascii="Times New Roman" w:eastAsia="Times New Roman" w:hAnsi="Times New Roman" w:cs="Times New Roman"/>
                <w:iCs/>
                <w:color w:val="000000"/>
                <w:sz w:val="24"/>
                <w:szCs w:val="20"/>
              </w:rPr>
              <w:t>informavimo apie tyrimų rezultatus reikalavimus; pieno supirkimo nutraukimo ir atstatymo tvarką;</w:t>
            </w:r>
            <w:r w:rsidR="00534399">
              <w:rPr>
                <w:rFonts w:ascii="Times New Roman" w:eastAsia="Times New Roman" w:hAnsi="Times New Roman" w:cs="Times New Roman"/>
                <w:iCs/>
                <w:color w:val="000000"/>
                <w:sz w:val="24"/>
                <w:szCs w:val="20"/>
              </w:rPr>
              <w:t xml:space="preserve"> </w:t>
            </w:r>
            <w:r w:rsidRPr="00AD5266">
              <w:rPr>
                <w:rFonts w:ascii="Times New Roman" w:eastAsia="Times New Roman" w:hAnsi="Times New Roman" w:cs="Times New Roman"/>
                <w:iCs/>
                <w:color w:val="000000"/>
                <w:sz w:val="24"/>
                <w:szCs w:val="20"/>
              </w:rPr>
              <w:t xml:space="preserve"> pieno mėginių ėmimo priemones, metodiką, pieno mėginių paruošimo (konservavimo, laikymo) ir išsiuntimo, teisingo pieno mėginių </w:t>
            </w:r>
            <w:r w:rsidRPr="00AD5266">
              <w:rPr>
                <w:rFonts w:ascii="Times New Roman" w:eastAsia="Times New Roman" w:hAnsi="Times New Roman" w:cs="Times New Roman"/>
                <w:iCs/>
                <w:color w:val="000000"/>
              </w:rPr>
              <w:t>lyd</w:t>
            </w:r>
            <w:r w:rsidRPr="00AD5266">
              <w:rPr>
                <w:rFonts w:ascii="Times New Roman" w:eastAsia="Times New Roman" w:hAnsi="Times New Roman" w:cs="Times New Roman"/>
                <w:iCs/>
                <w:color w:val="000000"/>
                <w:sz w:val="24"/>
                <w:szCs w:val="20"/>
              </w:rPr>
              <w:t>inčiųjų dokumentų užpildymo reikalavimus;</w:t>
            </w:r>
            <w:r w:rsidR="00534399">
              <w:rPr>
                <w:rFonts w:ascii="Times New Roman" w:eastAsia="Times New Roman" w:hAnsi="Times New Roman" w:cs="Times New Roman"/>
                <w:iCs/>
                <w:color w:val="000000"/>
                <w:sz w:val="24"/>
                <w:szCs w:val="20"/>
              </w:rPr>
              <w:t xml:space="preserve"> </w:t>
            </w:r>
            <w:r w:rsidRPr="00AD5266">
              <w:rPr>
                <w:rFonts w:ascii="Times New Roman" w:eastAsia="Times New Roman" w:hAnsi="Times New Roman" w:cs="Times New Roman"/>
                <w:iCs/>
                <w:color w:val="000000"/>
                <w:sz w:val="24"/>
                <w:szCs w:val="20"/>
              </w:rPr>
              <w:t>pieno mėginių netinkamumo tyrimui priežastis ir būdus to išvengti;</w:t>
            </w:r>
            <w:r w:rsidR="00534399">
              <w:rPr>
                <w:rFonts w:ascii="Times New Roman" w:eastAsia="Times New Roman" w:hAnsi="Times New Roman" w:cs="Times New Roman"/>
                <w:iCs/>
                <w:color w:val="000000"/>
                <w:sz w:val="24"/>
                <w:szCs w:val="20"/>
              </w:rPr>
              <w:t xml:space="preserve"> </w:t>
            </w:r>
            <w:r w:rsidRPr="00AD5266">
              <w:rPr>
                <w:rFonts w:ascii="Times New Roman" w:eastAsia="Times New Roman" w:hAnsi="Times New Roman" w:cs="Times New Roman"/>
                <w:iCs/>
                <w:color w:val="000000"/>
                <w:sz w:val="24"/>
                <w:szCs w:val="20"/>
              </w:rPr>
              <w:t>superkamo pieno apskaitos tvarkymo reikalavimus; pieno supirkimo imant mėginius iš kiekvienos pieno siuntos taisykles;</w:t>
            </w:r>
            <w:r w:rsidR="00534399">
              <w:rPr>
                <w:rFonts w:ascii="Times New Roman" w:eastAsia="Times New Roman" w:hAnsi="Times New Roman" w:cs="Times New Roman"/>
                <w:iCs/>
                <w:color w:val="000000"/>
                <w:sz w:val="24"/>
                <w:szCs w:val="20"/>
              </w:rPr>
              <w:t xml:space="preserve"> </w:t>
            </w:r>
            <w:r w:rsidRPr="00AD5266">
              <w:rPr>
                <w:rFonts w:ascii="Times New Roman" w:eastAsia="Times New Roman" w:hAnsi="Times New Roman" w:cs="Times New Roman"/>
                <w:iCs/>
                <w:color w:val="000000"/>
                <w:sz w:val="24"/>
                <w:szCs w:val="20"/>
              </w:rPr>
              <w:t xml:space="preserve"> apmokėjimo už pieno tyrimus reikalavimus;</w:t>
            </w:r>
            <w:r w:rsidR="0062195A">
              <w:rPr>
                <w:rFonts w:ascii="Times New Roman" w:eastAsia="Times New Roman" w:hAnsi="Times New Roman" w:cs="Times New Roman"/>
                <w:iCs/>
                <w:color w:val="000000"/>
                <w:sz w:val="24"/>
                <w:szCs w:val="20"/>
              </w:rPr>
              <w:t xml:space="preserve"> </w:t>
            </w:r>
            <w:r w:rsidRPr="00AD5266">
              <w:rPr>
                <w:rFonts w:ascii="Times New Roman" w:eastAsia="Times New Roman" w:hAnsi="Times New Roman" w:cs="Times New Roman"/>
                <w:iCs/>
                <w:color w:val="000000"/>
                <w:sz w:val="24"/>
                <w:szCs w:val="20"/>
              </w:rPr>
              <w:t>pieno pirkimo-pardavimo sutarties sąlygų reikalavimus, atsiskaitymo už pieną terminus ir tvarką.</w:t>
            </w:r>
            <w:r w:rsidR="000356F5">
              <w:rPr>
                <w:rFonts w:ascii="Times New Roman" w:eastAsia="Times New Roman" w:hAnsi="Times New Roman" w:cs="Times New Roman"/>
                <w:iCs/>
                <w:color w:val="000000"/>
                <w:sz w:val="24"/>
                <w:szCs w:val="20"/>
              </w:rPr>
              <w:t xml:space="preserve"> </w:t>
            </w:r>
          </w:p>
          <w:p w14:paraId="444B1545" w14:textId="49BAEEE9" w:rsidR="00775CE9" w:rsidRPr="0080772B" w:rsidRDefault="00AD5266" w:rsidP="000356F5">
            <w:pPr>
              <w:suppressAutoHyphens/>
              <w:autoSpaceDE w:val="0"/>
              <w:autoSpaceDN w:val="0"/>
              <w:adjustRightInd w:val="0"/>
              <w:ind w:left="34" w:hanging="34"/>
              <w:jc w:val="both"/>
              <w:textAlignment w:val="center"/>
              <w:rPr>
                <w:rFonts w:ascii="Times New Roman" w:eastAsia="Times New Roman" w:hAnsi="Times New Roman" w:cs="Times New Roman"/>
                <w:bCs/>
                <w:spacing w:val="-1"/>
                <w:sz w:val="24"/>
                <w:szCs w:val="24"/>
                <w:lang w:eastAsia="ar-SA"/>
              </w:rPr>
            </w:pPr>
            <w:r w:rsidRPr="00AD5266">
              <w:rPr>
                <w:rFonts w:ascii="Times New Roman" w:eastAsia="Times New Roman" w:hAnsi="Times New Roman" w:cs="Times New Roman"/>
                <w:bCs/>
                <w:sz w:val="24"/>
                <w:szCs w:val="24"/>
              </w:rPr>
              <w:t>Baigęs mokymo kursą pagal mokymo programą,</w:t>
            </w:r>
            <w:r w:rsidR="0062195A" w:rsidRPr="000356F5">
              <w:rPr>
                <w:rFonts w:ascii="Times New Roman" w:eastAsia="Times New Roman" w:hAnsi="Times New Roman" w:cs="Times New Roman"/>
                <w:bCs/>
                <w:sz w:val="24"/>
                <w:szCs w:val="24"/>
              </w:rPr>
              <w:t xml:space="preserve"> </w:t>
            </w:r>
            <w:r w:rsidRPr="00AD5266">
              <w:rPr>
                <w:rFonts w:ascii="Times New Roman" w:eastAsia="Times New Roman" w:hAnsi="Times New Roman" w:cs="Times New Roman"/>
                <w:bCs/>
                <w:sz w:val="24"/>
                <w:szCs w:val="24"/>
              </w:rPr>
              <w:t>dalyvis turi gebėti:</w:t>
            </w:r>
            <w:r w:rsidR="000356F5">
              <w:rPr>
                <w:rFonts w:ascii="Times New Roman" w:eastAsia="Times New Roman" w:hAnsi="Times New Roman" w:cs="Times New Roman"/>
                <w:b/>
                <w:sz w:val="24"/>
                <w:szCs w:val="24"/>
              </w:rPr>
              <w:t xml:space="preserve"> </w:t>
            </w:r>
            <w:r w:rsidRPr="00AD5266">
              <w:rPr>
                <w:rFonts w:ascii="Times New Roman" w:eastAsia="Times New Roman" w:hAnsi="Times New Roman" w:cs="Times New Roman"/>
                <w:bCs/>
                <w:iCs/>
                <w:color w:val="000000"/>
                <w:sz w:val="24"/>
                <w:szCs w:val="20"/>
              </w:rPr>
              <w:t>nustatyti superkamo pieno kiekį;</w:t>
            </w:r>
            <w:r w:rsidR="000356F5">
              <w:rPr>
                <w:rFonts w:ascii="Times New Roman" w:eastAsia="Times New Roman" w:hAnsi="Times New Roman" w:cs="Times New Roman"/>
                <w:bCs/>
                <w:iCs/>
                <w:color w:val="000000"/>
                <w:sz w:val="24"/>
                <w:szCs w:val="20"/>
              </w:rPr>
              <w:t xml:space="preserve"> </w:t>
            </w:r>
            <w:r w:rsidRPr="00AD5266">
              <w:rPr>
                <w:rFonts w:ascii="Times New Roman" w:eastAsia="Times New Roman" w:hAnsi="Times New Roman" w:cs="Times New Roman"/>
                <w:bCs/>
                <w:iCs/>
                <w:color w:val="000000"/>
                <w:sz w:val="24"/>
                <w:szCs w:val="20"/>
              </w:rPr>
              <w:lastRenderedPageBreak/>
              <w:t>įvertinti pieno kokybę pagal pirminius pieno kokybės rodiklius;</w:t>
            </w:r>
            <w:r w:rsidR="000356F5">
              <w:rPr>
                <w:rFonts w:ascii="Times New Roman" w:eastAsia="Times New Roman" w:hAnsi="Times New Roman" w:cs="Times New Roman"/>
                <w:bCs/>
                <w:iCs/>
                <w:color w:val="000000"/>
                <w:sz w:val="24"/>
                <w:szCs w:val="20"/>
              </w:rPr>
              <w:t xml:space="preserve"> </w:t>
            </w:r>
            <w:r w:rsidRPr="00AD5266">
              <w:rPr>
                <w:rFonts w:ascii="Times New Roman" w:eastAsia="Times New Roman" w:hAnsi="Times New Roman" w:cs="Times New Roman"/>
                <w:bCs/>
                <w:iCs/>
                <w:color w:val="000000"/>
                <w:sz w:val="24"/>
                <w:szCs w:val="20"/>
              </w:rPr>
              <w:t>tvarkyti pieno apskaitą bei kitus dokumentus pagal nustatytus reikalavimus;</w:t>
            </w:r>
            <w:r w:rsidR="000356F5">
              <w:rPr>
                <w:rFonts w:ascii="Times New Roman" w:eastAsia="Times New Roman" w:hAnsi="Times New Roman" w:cs="Times New Roman"/>
                <w:bCs/>
                <w:iCs/>
                <w:color w:val="000000"/>
                <w:sz w:val="24"/>
                <w:szCs w:val="20"/>
              </w:rPr>
              <w:t xml:space="preserve"> </w:t>
            </w:r>
            <w:r w:rsidRPr="00AD5266">
              <w:rPr>
                <w:rFonts w:ascii="Times New Roman" w:eastAsia="Times New Roman" w:hAnsi="Times New Roman" w:cs="Times New Roman"/>
                <w:sz w:val="24"/>
                <w:szCs w:val="24"/>
              </w:rPr>
              <w:t xml:space="preserve"> </w:t>
            </w:r>
            <w:r w:rsidRPr="00AD5266">
              <w:rPr>
                <w:rFonts w:ascii="Times New Roman" w:eastAsia="Times New Roman" w:hAnsi="Times New Roman" w:cs="Times New Roman"/>
                <w:bCs/>
                <w:iCs/>
                <w:color w:val="000000"/>
                <w:sz w:val="24"/>
                <w:szCs w:val="20"/>
              </w:rPr>
              <w:t>paimti, laikyti ir išsiųsti pieno mėginius tyrimui į įgaliotą laboratoriją;</w:t>
            </w:r>
            <w:r w:rsidR="000356F5">
              <w:rPr>
                <w:rFonts w:ascii="Times New Roman" w:eastAsia="Times New Roman" w:hAnsi="Times New Roman" w:cs="Times New Roman"/>
                <w:bCs/>
                <w:iCs/>
                <w:color w:val="000000"/>
                <w:sz w:val="24"/>
                <w:szCs w:val="20"/>
              </w:rPr>
              <w:t xml:space="preserve"> </w:t>
            </w:r>
            <w:r w:rsidRPr="00AD5266">
              <w:rPr>
                <w:rFonts w:ascii="Times New Roman" w:eastAsia="Times New Roman" w:hAnsi="Times New Roman" w:cs="Times New Roman"/>
                <w:bCs/>
                <w:iCs/>
                <w:color w:val="000000"/>
                <w:sz w:val="24"/>
                <w:szCs w:val="20"/>
              </w:rPr>
              <w:t>užpildyti pieno mėginių gabenimo dokumentus;</w:t>
            </w:r>
            <w:r w:rsidR="000356F5">
              <w:rPr>
                <w:rFonts w:ascii="Times New Roman" w:eastAsia="Times New Roman" w:hAnsi="Times New Roman" w:cs="Times New Roman"/>
                <w:bCs/>
                <w:iCs/>
                <w:color w:val="000000"/>
                <w:sz w:val="24"/>
                <w:szCs w:val="20"/>
              </w:rPr>
              <w:t xml:space="preserve"> </w:t>
            </w:r>
            <w:r w:rsidRPr="00AD5266">
              <w:rPr>
                <w:rFonts w:ascii="Times New Roman" w:eastAsia="Times New Roman" w:hAnsi="Times New Roman" w:cs="Times New Roman"/>
                <w:bCs/>
                <w:iCs/>
                <w:color w:val="000000"/>
                <w:sz w:val="24"/>
                <w:szCs w:val="20"/>
              </w:rPr>
              <w:t>plombuoti konteinerius su pieno mėginiais;</w:t>
            </w:r>
            <w:r w:rsidR="000356F5">
              <w:rPr>
                <w:rFonts w:ascii="Times New Roman" w:eastAsia="Times New Roman" w:hAnsi="Times New Roman" w:cs="Times New Roman"/>
                <w:bCs/>
                <w:iCs/>
                <w:color w:val="000000"/>
                <w:sz w:val="24"/>
                <w:szCs w:val="20"/>
              </w:rPr>
              <w:t xml:space="preserve"> </w:t>
            </w:r>
            <w:r w:rsidRPr="00AD5266">
              <w:rPr>
                <w:rFonts w:ascii="Times New Roman" w:eastAsia="Times New Roman" w:hAnsi="Times New Roman" w:cs="Times New Roman"/>
                <w:bCs/>
                <w:iCs/>
                <w:color w:val="000000"/>
                <w:sz w:val="24"/>
                <w:szCs w:val="20"/>
              </w:rPr>
              <w:t>prižiūrėti</w:t>
            </w:r>
            <w:r w:rsidRPr="00AD5266">
              <w:rPr>
                <w:rFonts w:ascii="Times New Roman" w:eastAsia="Times New Roman" w:hAnsi="Times New Roman" w:cs="Times New Roman"/>
                <w:iCs/>
                <w:color w:val="000000"/>
                <w:sz w:val="24"/>
                <w:szCs w:val="20"/>
              </w:rPr>
              <w:t xml:space="preserve"> pieno aušinimo ir laikymo įrangą;</w:t>
            </w:r>
            <w:r w:rsidR="000356F5">
              <w:rPr>
                <w:rFonts w:ascii="Times New Roman" w:eastAsia="Times New Roman" w:hAnsi="Times New Roman" w:cs="Times New Roman"/>
                <w:iCs/>
                <w:color w:val="000000"/>
                <w:sz w:val="24"/>
                <w:szCs w:val="20"/>
              </w:rPr>
              <w:t xml:space="preserve"> </w:t>
            </w:r>
            <w:r w:rsidRPr="00AD5266">
              <w:rPr>
                <w:rFonts w:ascii="Times New Roman" w:eastAsia="Times New Roman" w:hAnsi="Times New Roman" w:cs="Times New Roman"/>
                <w:bCs/>
                <w:iCs/>
                <w:color w:val="000000"/>
                <w:sz w:val="24"/>
                <w:szCs w:val="20"/>
              </w:rPr>
              <w:t>naudotis pieno talpų plovimo ir dezinfekavimo medžiagomis.</w:t>
            </w:r>
          </w:p>
        </w:tc>
      </w:tr>
      <w:tr w:rsidR="00332F24" w:rsidRPr="00F902F8" w14:paraId="1D31B415" w14:textId="77777777" w:rsidTr="00AF3A49">
        <w:trPr>
          <w:trHeight w:val="834"/>
        </w:trPr>
        <w:tc>
          <w:tcPr>
            <w:tcW w:w="5670" w:type="dxa"/>
          </w:tcPr>
          <w:p w14:paraId="7064252C" w14:textId="0762D5E5" w:rsidR="00332F24" w:rsidRPr="00F902F8" w:rsidRDefault="00332F24" w:rsidP="0080772B">
            <w:pPr>
              <w:autoSpaceDE w:val="0"/>
              <w:autoSpaceDN w:val="0"/>
              <w:adjustRightInd w:val="0"/>
              <w:rPr>
                <w:rFonts w:ascii="Times New Roman" w:hAnsi="Times New Roman" w:cs="Times New Roman"/>
                <w:b/>
                <w:bCs/>
                <w:sz w:val="24"/>
                <w:szCs w:val="24"/>
              </w:rPr>
            </w:pPr>
            <w:r w:rsidRPr="00F902F8">
              <w:rPr>
                <w:rFonts w:ascii="Times New Roman" w:hAnsi="Times New Roman" w:cs="Times New Roman"/>
                <w:sz w:val="24"/>
                <w:szCs w:val="24"/>
              </w:rPr>
              <w:lastRenderedPageBreak/>
              <w:t>Mokymo ištekliai ir priemonės</w:t>
            </w:r>
          </w:p>
        </w:tc>
        <w:tc>
          <w:tcPr>
            <w:tcW w:w="5238" w:type="dxa"/>
            <w:tcBorders>
              <w:top w:val="single" w:sz="4" w:space="0" w:color="000000"/>
              <w:left w:val="single" w:sz="4" w:space="0" w:color="000000"/>
              <w:bottom w:val="single" w:sz="4" w:space="0" w:color="000000"/>
              <w:right w:val="single" w:sz="4" w:space="0" w:color="000000"/>
            </w:tcBorders>
          </w:tcPr>
          <w:p w14:paraId="1CCE6D29" w14:textId="77777777" w:rsidR="000C1C2C" w:rsidRPr="000C1C2C" w:rsidRDefault="000C1C2C" w:rsidP="000C1C2C">
            <w:pPr>
              <w:ind w:firstLine="34"/>
              <w:jc w:val="both"/>
              <w:rPr>
                <w:rFonts w:ascii="Times New Roman" w:hAnsi="Times New Roman" w:cs="Times New Roman"/>
                <w:bCs/>
                <w:sz w:val="24"/>
                <w:szCs w:val="24"/>
              </w:rPr>
            </w:pPr>
            <w:r w:rsidRPr="000C1C2C">
              <w:rPr>
                <w:rFonts w:ascii="Times New Roman" w:hAnsi="Times New Roman" w:cs="Times New Roman"/>
                <w:bCs/>
                <w:sz w:val="24"/>
                <w:szCs w:val="24"/>
              </w:rPr>
              <w:t>Mokantis auditoriniu būdu reikalingi ištekliai: auditorija, vaizdo demonstravimo įranga, kompiuteris, metodinė ir vaizdinė medžiaga, (skaidrės, nuotraukos, mokomieji filmai) parengta pagal mokymo programos planą, konferencijų lenta, kanceliarinės priemonės.</w:t>
            </w:r>
          </w:p>
          <w:p w14:paraId="363E8F1E" w14:textId="77777777" w:rsidR="000C1C2C" w:rsidRPr="000C1C2C" w:rsidRDefault="000C1C2C" w:rsidP="000C1C2C">
            <w:pPr>
              <w:ind w:firstLine="34"/>
              <w:jc w:val="both"/>
              <w:rPr>
                <w:rFonts w:ascii="Times New Roman" w:hAnsi="Times New Roman" w:cs="Times New Roman"/>
                <w:bCs/>
                <w:sz w:val="24"/>
                <w:szCs w:val="24"/>
              </w:rPr>
            </w:pPr>
            <w:r w:rsidRPr="000C1C2C">
              <w:rPr>
                <w:rFonts w:ascii="Times New Roman" w:hAnsi="Times New Roman" w:cs="Times New Roman"/>
                <w:bCs/>
                <w:sz w:val="24"/>
                <w:szCs w:val="24"/>
              </w:rPr>
              <w:t>Mokantis nuotoliniu būdu reikalingas kompiuteris, nuotolinio mokymosi platforma („Teams“, „Zoom“, „Skype“ ir kt.), interneto prieiga, virtualus mokymo, vaizdinės medžiagos, žinių tikrinimo (testo klausimų) paketas, parengtas pagal mokymo programos planą.</w:t>
            </w:r>
          </w:p>
          <w:p w14:paraId="1FC32A12" w14:textId="22F6131B" w:rsidR="00AF3A49" w:rsidRPr="0080772B" w:rsidRDefault="000C1C2C" w:rsidP="000C1C2C">
            <w:pPr>
              <w:ind w:firstLine="34"/>
              <w:jc w:val="both"/>
              <w:rPr>
                <w:b/>
                <w:szCs w:val="24"/>
              </w:rPr>
            </w:pPr>
            <w:r w:rsidRPr="000C1C2C">
              <w:rPr>
                <w:rFonts w:ascii="Times New Roman" w:hAnsi="Times New Roman" w:cs="Times New Roman"/>
                <w:bCs/>
                <w:sz w:val="24"/>
                <w:szCs w:val="24"/>
              </w:rPr>
              <w:t>Praktinės dalies ištekliai: pieno tyrimų laboratorija, žalio pieno pavyzdžiai, pieno mėginių tara, mėginių ėmimo priemonės, konservantai, konteineriai, vienkartiniai maišeliai, priemonės pieno mėginių paėmimui, konservavimui, įranga ir reagentai pirminiams pieno kokybės rodikliams nustatyti, lydraščiai dokumentų pildymui.</w:t>
            </w:r>
          </w:p>
        </w:tc>
      </w:tr>
      <w:tr w:rsidR="00332F24" w:rsidRPr="00F902F8" w14:paraId="7E1F885E" w14:textId="77777777" w:rsidTr="004367C8">
        <w:tc>
          <w:tcPr>
            <w:tcW w:w="5670" w:type="dxa"/>
          </w:tcPr>
          <w:p w14:paraId="16D63E4E" w14:textId="77777777" w:rsidR="00332F24" w:rsidRPr="00F902F8" w:rsidRDefault="00332F24" w:rsidP="00332F24">
            <w:pPr>
              <w:autoSpaceDE w:val="0"/>
              <w:autoSpaceDN w:val="0"/>
              <w:adjustRightInd w:val="0"/>
              <w:rPr>
                <w:rFonts w:ascii="Times New Roman" w:hAnsi="Times New Roman" w:cs="Times New Roman"/>
                <w:sz w:val="24"/>
                <w:szCs w:val="24"/>
              </w:rPr>
            </w:pPr>
            <w:r w:rsidRPr="00F902F8">
              <w:rPr>
                <w:rFonts w:ascii="Times New Roman" w:hAnsi="Times New Roman" w:cs="Times New Roman"/>
                <w:sz w:val="24"/>
                <w:szCs w:val="24"/>
              </w:rPr>
              <w:t>Baigiamojo tikrinimo (žinių vertinimo) forma</w:t>
            </w:r>
          </w:p>
          <w:p w14:paraId="3421046A" w14:textId="77777777" w:rsidR="00332F24" w:rsidRPr="00F902F8" w:rsidRDefault="00332F24" w:rsidP="00332F24">
            <w:pPr>
              <w:autoSpaceDE w:val="0"/>
              <w:autoSpaceDN w:val="0"/>
              <w:adjustRightInd w:val="0"/>
              <w:rPr>
                <w:rFonts w:ascii="Times New Roman" w:hAnsi="Times New Roman" w:cs="Times New Roman"/>
                <w:b/>
                <w:bCs/>
                <w:sz w:val="24"/>
                <w:szCs w:val="24"/>
              </w:rPr>
            </w:pPr>
          </w:p>
        </w:tc>
        <w:tc>
          <w:tcPr>
            <w:tcW w:w="5238" w:type="dxa"/>
            <w:tcBorders>
              <w:top w:val="single" w:sz="4" w:space="0" w:color="000000"/>
              <w:left w:val="single" w:sz="4" w:space="0" w:color="000000"/>
              <w:bottom w:val="single" w:sz="4" w:space="0" w:color="000000"/>
              <w:right w:val="single" w:sz="4" w:space="0" w:color="000000"/>
            </w:tcBorders>
          </w:tcPr>
          <w:p w14:paraId="71B31452" w14:textId="2C0AF381" w:rsidR="00332F24" w:rsidRPr="00F902F8" w:rsidRDefault="00FE6403" w:rsidP="009677A7">
            <w:pPr>
              <w:pStyle w:val="BasicParagraph"/>
              <w:spacing w:line="240" w:lineRule="auto"/>
              <w:jc w:val="both"/>
            </w:pPr>
            <w:r>
              <w:t>Testas.</w:t>
            </w:r>
          </w:p>
        </w:tc>
      </w:tr>
      <w:tr w:rsidR="00E33848" w:rsidRPr="00F902F8" w14:paraId="561FBE48" w14:textId="77777777" w:rsidTr="004367C8">
        <w:trPr>
          <w:trHeight w:val="558"/>
        </w:trPr>
        <w:tc>
          <w:tcPr>
            <w:tcW w:w="5670" w:type="dxa"/>
          </w:tcPr>
          <w:p w14:paraId="1ABF84A6" w14:textId="77777777" w:rsidR="00E33848" w:rsidRPr="00F902F8" w:rsidRDefault="00E33848" w:rsidP="00E33848">
            <w:pPr>
              <w:autoSpaceDE w:val="0"/>
              <w:autoSpaceDN w:val="0"/>
              <w:adjustRightInd w:val="0"/>
              <w:rPr>
                <w:rFonts w:ascii="Times New Roman" w:hAnsi="Times New Roman" w:cs="Times New Roman"/>
                <w:b/>
                <w:sz w:val="24"/>
                <w:szCs w:val="24"/>
              </w:rPr>
            </w:pPr>
            <w:r w:rsidRPr="00F902F8">
              <w:rPr>
                <w:rFonts w:ascii="Times New Roman" w:hAnsi="Times New Roman" w:cs="Times New Roman"/>
                <w:b/>
                <w:sz w:val="24"/>
                <w:szCs w:val="24"/>
              </w:rPr>
              <w:t>Mokymo planas (mokymo temų pavadinimas)</w:t>
            </w:r>
          </w:p>
          <w:p w14:paraId="40508994" w14:textId="77777777" w:rsidR="00E33848" w:rsidRPr="00F902F8" w:rsidRDefault="00E33848" w:rsidP="00E33848">
            <w:pPr>
              <w:autoSpaceDE w:val="0"/>
              <w:autoSpaceDN w:val="0"/>
              <w:adjustRightInd w:val="0"/>
              <w:rPr>
                <w:rFonts w:ascii="Times New Roman" w:hAnsi="Times New Roman" w:cs="Times New Roman"/>
                <w:b/>
                <w:bCs/>
                <w:sz w:val="24"/>
                <w:szCs w:val="24"/>
              </w:rPr>
            </w:pPr>
          </w:p>
        </w:tc>
        <w:tc>
          <w:tcPr>
            <w:tcW w:w="5238" w:type="dxa"/>
          </w:tcPr>
          <w:p w14:paraId="6CBAD239" w14:textId="77777777" w:rsidR="00E33848" w:rsidRPr="00F902F8" w:rsidRDefault="00BB5B06" w:rsidP="00E33848">
            <w:pPr>
              <w:autoSpaceDE w:val="0"/>
              <w:autoSpaceDN w:val="0"/>
              <w:adjustRightInd w:val="0"/>
              <w:rPr>
                <w:rFonts w:ascii="Times New Roman" w:hAnsi="Times New Roman" w:cs="Times New Roman"/>
                <w:b/>
                <w:bCs/>
                <w:sz w:val="24"/>
                <w:szCs w:val="24"/>
              </w:rPr>
            </w:pPr>
            <w:r w:rsidRPr="00F902F8">
              <w:rPr>
                <w:rFonts w:ascii="Times New Roman" w:hAnsi="Times New Roman" w:cs="Times New Roman"/>
                <w:b/>
                <w:bCs/>
                <w:sz w:val="24"/>
                <w:szCs w:val="24"/>
              </w:rPr>
              <w:t>Akad. val. skaičius pagal mokymo temas</w:t>
            </w:r>
          </w:p>
        </w:tc>
      </w:tr>
      <w:tr w:rsidR="00C3311C" w:rsidRPr="00F902F8" w14:paraId="4911A0C9" w14:textId="77777777" w:rsidTr="00C3311C">
        <w:trPr>
          <w:trHeight w:val="558"/>
        </w:trPr>
        <w:tc>
          <w:tcPr>
            <w:tcW w:w="5670" w:type="dxa"/>
            <w:vAlign w:val="center"/>
          </w:tcPr>
          <w:p w14:paraId="5B8CC4F0" w14:textId="30A92576" w:rsidR="00C3311C" w:rsidRPr="00C3311C" w:rsidRDefault="00C3311C" w:rsidP="00C3311C">
            <w:pPr>
              <w:autoSpaceDE w:val="0"/>
              <w:autoSpaceDN w:val="0"/>
              <w:adjustRightInd w:val="0"/>
              <w:jc w:val="both"/>
              <w:rPr>
                <w:rFonts w:ascii="Times New Roman" w:hAnsi="Times New Roman" w:cs="Times New Roman"/>
                <w:b/>
                <w:sz w:val="24"/>
                <w:szCs w:val="24"/>
              </w:rPr>
            </w:pPr>
            <w:r w:rsidRPr="00C3311C">
              <w:rPr>
                <w:rFonts w:ascii="Times New Roman" w:hAnsi="Times New Roman" w:cs="Times New Roman"/>
                <w:sz w:val="24"/>
                <w:szCs w:val="24"/>
              </w:rPr>
              <w:t xml:space="preserve">Higienos reikalavimai pieno ūkiams, </w:t>
            </w:r>
            <w:r w:rsidRPr="00C3311C">
              <w:rPr>
                <w:rFonts w:ascii="Times New Roman" w:hAnsi="Times New Roman" w:cs="Times New Roman"/>
                <w:iCs/>
                <w:sz w:val="24"/>
                <w:szCs w:val="24"/>
              </w:rPr>
              <w:t>pieno supirkimo punktams, apdorojimo ir perdirbimo įmonėms. Higienos ir sveikatos reikalavimai asmenims dirbantiems su pienu. Pieno talpyklų sanitarinis apdorojimas.</w:t>
            </w:r>
          </w:p>
        </w:tc>
        <w:tc>
          <w:tcPr>
            <w:tcW w:w="5238" w:type="dxa"/>
            <w:tcBorders>
              <w:top w:val="single" w:sz="4" w:space="0" w:color="auto"/>
              <w:bottom w:val="single" w:sz="4" w:space="0" w:color="auto"/>
            </w:tcBorders>
            <w:vAlign w:val="center"/>
          </w:tcPr>
          <w:p w14:paraId="426C1FED" w14:textId="6B6D0D7B" w:rsidR="00C3311C" w:rsidRPr="00254021" w:rsidRDefault="00C3311C" w:rsidP="00C3311C">
            <w:pPr>
              <w:autoSpaceDE w:val="0"/>
              <w:autoSpaceDN w:val="0"/>
              <w:adjustRightInd w:val="0"/>
              <w:jc w:val="center"/>
              <w:rPr>
                <w:rFonts w:ascii="Times New Roman" w:hAnsi="Times New Roman" w:cs="Times New Roman"/>
                <w:sz w:val="24"/>
                <w:szCs w:val="24"/>
              </w:rPr>
            </w:pPr>
            <w:r w:rsidRPr="00254021">
              <w:rPr>
                <w:rFonts w:ascii="Times New Roman" w:hAnsi="Times New Roman" w:cs="Times New Roman"/>
                <w:sz w:val="24"/>
                <w:szCs w:val="24"/>
              </w:rPr>
              <w:t>1</w:t>
            </w:r>
            <w:r w:rsidR="00077FF2" w:rsidRPr="00254021">
              <w:rPr>
                <w:rFonts w:ascii="Times New Roman" w:hAnsi="Times New Roman" w:cs="Times New Roman"/>
                <w:sz w:val="24"/>
                <w:szCs w:val="24"/>
              </w:rPr>
              <w:t>,0</w:t>
            </w:r>
          </w:p>
        </w:tc>
      </w:tr>
      <w:tr w:rsidR="00C3311C" w:rsidRPr="00F902F8" w14:paraId="34E98829" w14:textId="77777777" w:rsidTr="00C3311C">
        <w:trPr>
          <w:trHeight w:val="558"/>
        </w:trPr>
        <w:tc>
          <w:tcPr>
            <w:tcW w:w="5670" w:type="dxa"/>
            <w:vAlign w:val="center"/>
          </w:tcPr>
          <w:p w14:paraId="15C763BC" w14:textId="2E82BB6F" w:rsidR="00C3311C" w:rsidRPr="00C3311C" w:rsidRDefault="00C3311C" w:rsidP="00C3311C">
            <w:pPr>
              <w:autoSpaceDE w:val="0"/>
              <w:autoSpaceDN w:val="0"/>
              <w:adjustRightInd w:val="0"/>
              <w:jc w:val="both"/>
              <w:rPr>
                <w:rFonts w:ascii="Times New Roman" w:hAnsi="Times New Roman" w:cs="Times New Roman"/>
                <w:b/>
                <w:sz w:val="24"/>
                <w:szCs w:val="24"/>
              </w:rPr>
            </w:pPr>
            <w:r w:rsidRPr="00C3311C">
              <w:rPr>
                <w:rFonts w:ascii="Times New Roman" w:hAnsi="Times New Roman" w:cs="Times New Roman"/>
                <w:iCs/>
                <w:sz w:val="24"/>
                <w:szCs w:val="24"/>
              </w:rPr>
              <w:t xml:space="preserve">Procedūros, būtinos atlikti prieš pradedant parduoti (pirkti) pieną. Pieno pristatymas į pieno supirkimo punktą. </w:t>
            </w:r>
            <w:r w:rsidRPr="00C3311C">
              <w:rPr>
                <w:rFonts w:ascii="Times New Roman" w:hAnsi="Times New Roman" w:cs="Times New Roman"/>
                <w:sz w:val="24"/>
                <w:szCs w:val="24"/>
              </w:rPr>
              <w:t>Pieno pristatymo į stacionarų pieno supirkimo punktą paslaugos iš atokesnių gyvenamųjų vietovių organizavimas. Pieno paėmimas tiesiai iš ūkio / ūkyje esančio šaldytuvo.</w:t>
            </w:r>
          </w:p>
        </w:tc>
        <w:tc>
          <w:tcPr>
            <w:tcW w:w="5238" w:type="dxa"/>
            <w:tcBorders>
              <w:top w:val="single" w:sz="4" w:space="0" w:color="auto"/>
              <w:bottom w:val="single" w:sz="4" w:space="0" w:color="auto"/>
            </w:tcBorders>
            <w:vAlign w:val="center"/>
          </w:tcPr>
          <w:p w14:paraId="1D49D7D3" w14:textId="6EF6207C" w:rsidR="00C3311C" w:rsidRPr="00254021" w:rsidRDefault="00254021" w:rsidP="00C3311C">
            <w:pPr>
              <w:autoSpaceDE w:val="0"/>
              <w:autoSpaceDN w:val="0"/>
              <w:adjustRightInd w:val="0"/>
              <w:jc w:val="center"/>
              <w:rPr>
                <w:rFonts w:ascii="Times New Roman" w:hAnsi="Times New Roman" w:cs="Times New Roman"/>
                <w:sz w:val="24"/>
                <w:szCs w:val="24"/>
              </w:rPr>
            </w:pPr>
            <w:r w:rsidRPr="00254021">
              <w:rPr>
                <w:rFonts w:ascii="Times New Roman" w:hAnsi="Times New Roman" w:cs="Times New Roman"/>
                <w:sz w:val="24"/>
                <w:szCs w:val="24"/>
              </w:rPr>
              <w:t>0,5</w:t>
            </w:r>
          </w:p>
        </w:tc>
      </w:tr>
      <w:tr w:rsidR="00C3311C" w:rsidRPr="00F902F8" w14:paraId="5F725911" w14:textId="77777777" w:rsidTr="00C3311C">
        <w:trPr>
          <w:trHeight w:val="558"/>
        </w:trPr>
        <w:tc>
          <w:tcPr>
            <w:tcW w:w="5670" w:type="dxa"/>
            <w:vAlign w:val="center"/>
          </w:tcPr>
          <w:p w14:paraId="7584D34E" w14:textId="6213255E" w:rsidR="00C3311C" w:rsidRPr="00C3311C" w:rsidRDefault="00C3311C" w:rsidP="00C3311C">
            <w:pPr>
              <w:autoSpaceDE w:val="0"/>
              <w:autoSpaceDN w:val="0"/>
              <w:adjustRightInd w:val="0"/>
              <w:jc w:val="both"/>
              <w:rPr>
                <w:rFonts w:ascii="Times New Roman" w:hAnsi="Times New Roman" w:cs="Times New Roman"/>
                <w:b/>
                <w:sz w:val="24"/>
                <w:szCs w:val="24"/>
              </w:rPr>
            </w:pPr>
            <w:r w:rsidRPr="00C3311C">
              <w:rPr>
                <w:rFonts w:ascii="Times New Roman" w:hAnsi="Times New Roman" w:cs="Times New Roman"/>
                <w:sz w:val="24"/>
                <w:szCs w:val="24"/>
              </w:rPr>
              <w:t>Žalio pieno pirminių kokybės rodiklių įvertinimas.</w:t>
            </w:r>
          </w:p>
        </w:tc>
        <w:tc>
          <w:tcPr>
            <w:tcW w:w="5238" w:type="dxa"/>
            <w:tcBorders>
              <w:top w:val="single" w:sz="4" w:space="0" w:color="auto"/>
              <w:bottom w:val="single" w:sz="4" w:space="0" w:color="auto"/>
            </w:tcBorders>
            <w:vAlign w:val="center"/>
          </w:tcPr>
          <w:p w14:paraId="03AB5897" w14:textId="30B48920" w:rsidR="00C3311C" w:rsidRPr="00254021" w:rsidRDefault="00254021" w:rsidP="00C3311C">
            <w:pPr>
              <w:autoSpaceDE w:val="0"/>
              <w:autoSpaceDN w:val="0"/>
              <w:adjustRightInd w:val="0"/>
              <w:jc w:val="center"/>
              <w:rPr>
                <w:rFonts w:ascii="Times New Roman" w:hAnsi="Times New Roman" w:cs="Times New Roman"/>
                <w:sz w:val="24"/>
                <w:szCs w:val="24"/>
              </w:rPr>
            </w:pPr>
            <w:r w:rsidRPr="00254021">
              <w:rPr>
                <w:rFonts w:ascii="Times New Roman" w:hAnsi="Times New Roman" w:cs="Times New Roman"/>
                <w:sz w:val="24"/>
                <w:szCs w:val="24"/>
              </w:rPr>
              <w:t>0,5</w:t>
            </w:r>
          </w:p>
        </w:tc>
      </w:tr>
      <w:tr w:rsidR="00C3311C" w:rsidRPr="00F902F8" w14:paraId="18260296" w14:textId="77777777" w:rsidTr="00C3311C">
        <w:trPr>
          <w:trHeight w:val="558"/>
        </w:trPr>
        <w:tc>
          <w:tcPr>
            <w:tcW w:w="5670" w:type="dxa"/>
            <w:vAlign w:val="center"/>
          </w:tcPr>
          <w:p w14:paraId="594793A2" w14:textId="3694449F" w:rsidR="00C3311C" w:rsidRPr="00C3311C" w:rsidRDefault="00C3311C" w:rsidP="00C3311C">
            <w:pPr>
              <w:autoSpaceDE w:val="0"/>
              <w:autoSpaceDN w:val="0"/>
              <w:adjustRightInd w:val="0"/>
              <w:jc w:val="both"/>
              <w:rPr>
                <w:rFonts w:ascii="Times New Roman" w:hAnsi="Times New Roman" w:cs="Times New Roman"/>
                <w:b/>
                <w:sz w:val="24"/>
                <w:szCs w:val="24"/>
              </w:rPr>
            </w:pPr>
            <w:r w:rsidRPr="00C3311C">
              <w:rPr>
                <w:rFonts w:ascii="Times New Roman" w:hAnsi="Times New Roman" w:cs="Times New Roman"/>
                <w:iCs/>
                <w:sz w:val="24"/>
                <w:szCs w:val="24"/>
              </w:rPr>
              <w:t>Praktinis darbas.</w:t>
            </w:r>
            <w:r w:rsidRPr="00C3311C">
              <w:rPr>
                <w:rFonts w:ascii="Times New Roman" w:hAnsi="Times New Roman" w:cs="Times New Roman"/>
                <w:sz w:val="24"/>
                <w:szCs w:val="24"/>
              </w:rPr>
              <w:t xml:space="preserve"> Nustatyti parduodamo pieno pirminius kokybės rodiklius (spalvą, kvapą, konsistenciją, skonį, temperatūrą, rūgštingumą, švarumą, tankį, neutralizuojančias medžiagas).</w:t>
            </w:r>
          </w:p>
        </w:tc>
        <w:tc>
          <w:tcPr>
            <w:tcW w:w="5238" w:type="dxa"/>
            <w:tcBorders>
              <w:top w:val="single" w:sz="4" w:space="0" w:color="auto"/>
              <w:bottom w:val="single" w:sz="4" w:space="0" w:color="auto"/>
            </w:tcBorders>
            <w:vAlign w:val="center"/>
          </w:tcPr>
          <w:p w14:paraId="29F787EB" w14:textId="4124E156" w:rsidR="00C3311C" w:rsidRPr="00C17F9C" w:rsidRDefault="00E942FF" w:rsidP="00C3311C">
            <w:pPr>
              <w:autoSpaceDE w:val="0"/>
              <w:autoSpaceDN w:val="0"/>
              <w:adjustRightInd w:val="0"/>
              <w:jc w:val="center"/>
              <w:rPr>
                <w:rFonts w:ascii="Times New Roman" w:hAnsi="Times New Roman" w:cs="Times New Roman"/>
                <w:sz w:val="24"/>
                <w:szCs w:val="24"/>
              </w:rPr>
            </w:pPr>
            <w:r w:rsidRPr="00C17F9C">
              <w:rPr>
                <w:rFonts w:ascii="Times New Roman" w:hAnsi="Times New Roman" w:cs="Times New Roman"/>
                <w:sz w:val="24"/>
                <w:szCs w:val="24"/>
              </w:rPr>
              <w:t>2</w:t>
            </w:r>
            <w:r w:rsidR="00254021">
              <w:rPr>
                <w:rFonts w:ascii="Times New Roman" w:hAnsi="Times New Roman" w:cs="Times New Roman"/>
                <w:sz w:val="24"/>
                <w:szCs w:val="24"/>
              </w:rPr>
              <w:t>,0</w:t>
            </w:r>
          </w:p>
        </w:tc>
      </w:tr>
      <w:tr w:rsidR="00C3311C" w:rsidRPr="00F902F8" w14:paraId="256A0C66" w14:textId="77777777" w:rsidTr="00C3311C">
        <w:trPr>
          <w:trHeight w:val="558"/>
        </w:trPr>
        <w:tc>
          <w:tcPr>
            <w:tcW w:w="5670" w:type="dxa"/>
            <w:vAlign w:val="center"/>
          </w:tcPr>
          <w:p w14:paraId="071BC70C" w14:textId="71EDEEB7" w:rsidR="00C3311C" w:rsidRPr="00C3311C" w:rsidRDefault="00C3311C" w:rsidP="00C3311C">
            <w:pPr>
              <w:autoSpaceDE w:val="0"/>
              <w:autoSpaceDN w:val="0"/>
              <w:adjustRightInd w:val="0"/>
              <w:jc w:val="both"/>
              <w:rPr>
                <w:rFonts w:ascii="Times New Roman" w:hAnsi="Times New Roman" w:cs="Times New Roman"/>
                <w:b/>
                <w:sz w:val="24"/>
                <w:szCs w:val="24"/>
              </w:rPr>
            </w:pPr>
            <w:r w:rsidRPr="00C3311C">
              <w:rPr>
                <w:rFonts w:ascii="Times New Roman" w:hAnsi="Times New Roman" w:cs="Times New Roman"/>
                <w:iCs/>
                <w:sz w:val="24"/>
                <w:szCs w:val="24"/>
              </w:rPr>
              <w:t xml:space="preserve">Žalio pieno sudėties ir kokybės rodikliai, jų tyrimo periodiškumas rezultatų taikymas. Nuoskaitos, taikomos už parduoto, nustatytų reikalavimų neatitinkančio, pieno kokybę. Privalomieji ir papildomieji tyrimai. </w:t>
            </w:r>
          </w:p>
        </w:tc>
        <w:tc>
          <w:tcPr>
            <w:tcW w:w="5238" w:type="dxa"/>
            <w:tcBorders>
              <w:top w:val="single" w:sz="4" w:space="0" w:color="auto"/>
              <w:bottom w:val="single" w:sz="4" w:space="0" w:color="auto"/>
            </w:tcBorders>
            <w:vAlign w:val="center"/>
          </w:tcPr>
          <w:p w14:paraId="4FAFC6CA" w14:textId="60470CEE" w:rsidR="00C3311C" w:rsidRPr="00C17F9C" w:rsidRDefault="00E942FF" w:rsidP="00C3311C">
            <w:pPr>
              <w:autoSpaceDE w:val="0"/>
              <w:autoSpaceDN w:val="0"/>
              <w:adjustRightInd w:val="0"/>
              <w:jc w:val="center"/>
              <w:rPr>
                <w:rFonts w:ascii="Times New Roman" w:hAnsi="Times New Roman" w:cs="Times New Roman"/>
                <w:sz w:val="24"/>
                <w:szCs w:val="24"/>
              </w:rPr>
            </w:pPr>
            <w:r w:rsidRPr="00C17F9C">
              <w:rPr>
                <w:rFonts w:ascii="Times New Roman" w:hAnsi="Times New Roman" w:cs="Times New Roman"/>
                <w:sz w:val="24"/>
                <w:szCs w:val="24"/>
              </w:rPr>
              <w:t>0,5</w:t>
            </w:r>
          </w:p>
        </w:tc>
      </w:tr>
      <w:tr w:rsidR="00C3311C" w:rsidRPr="00F902F8" w14:paraId="79CA8220" w14:textId="77777777" w:rsidTr="00C3311C">
        <w:trPr>
          <w:trHeight w:val="558"/>
        </w:trPr>
        <w:tc>
          <w:tcPr>
            <w:tcW w:w="5670" w:type="dxa"/>
            <w:vAlign w:val="center"/>
          </w:tcPr>
          <w:p w14:paraId="6BD82D0C" w14:textId="25367E6A" w:rsidR="00C3311C" w:rsidRPr="00C3311C" w:rsidRDefault="00C3311C" w:rsidP="00C3311C">
            <w:pPr>
              <w:autoSpaceDE w:val="0"/>
              <w:autoSpaceDN w:val="0"/>
              <w:adjustRightInd w:val="0"/>
              <w:jc w:val="both"/>
              <w:rPr>
                <w:rFonts w:ascii="Times New Roman" w:hAnsi="Times New Roman" w:cs="Times New Roman"/>
                <w:b/>
                <w:sz w:val="24"/>
                <w:szCs w:val="24"/>
              </w:rPr>
            </w:pPr>
            <w:r w:rsidRPr="00C3311C">
              <w:rPr>
                <w:rFonts w:ascii="Times New Roman" w:hAnsi="Times New Roman" w:cs="Times New Roman"/>
                <w:sz w:val="24"/>
                <w:szCs w:val="24"/>
              </w:rPr>
              <w:t>Praktinis darbas</w:t>
            </w:r>
            <w:r w:rsidRPr="00C3311C">
              <w:rPr>
                <w:rFonts w:ascii="Times New Roman" w:hAnsi="Times New Roman" w:cs="Times New Roman"/>
                <w:iCs/>
                <w:sz w:val="24"/>
                <w:szCs w:val="24"/>
              </w:rPr>
              <w:t xml:space="preserve">. Nustatyti įskaitinio pieno tiekimo laikotarpio pieno sudėties ir kokybės rodiklius, pagal </w:t>
            </w:r>
            <w:r w:rsidRPr="00C3311C">
              <w:rPr>
                <w:rFonts w:ascii="Times New Roman" w:hAnsi="Times New Roman" w:cs="Times New Roman"/>
                <w:iCs/>
                <w:sz w:val="24"/>
                <w:szCs w:val="24"/>
              </w:rPr>
              <w:lastRenderedPageBreak/>
              <w:t>kuriuos atsiskaitoma už tą įskaitinį laikotarpį parduotą pieną, kai atliktas įvairus skaičius tyrimų bei gauti iš laboratorijos įvairūs pieno tyrimų rezultatai.</w:t>
            </w:r>
          </w:p>
        </w:tc>
        <w:tc>
          <w:tcPr>
            <w:tcW w:w="5238" w:type="dxa"/>
            <w:tcBorders>
              <w:top w:val="single" w:sz="4" w:space="0" w:color="auto"/>
              <w:bottom w:val="single" w:sz="4" w:space="0" w:color="auto"/>
            </w:tcBorders>
            <w:vAlign w:val="center"/>
          </w:tcPr>
          <w:p w14:paraId="5F451F31" w14:textId="0369D63D" w:rsidR="00C3311C" w:rsidRPr="00C17F9C" w:rsidRDefault="00E942FF" w:rsidP="00C3311C">
            <w:pPr>
              <w:autoSpaceDE w:val="0"/>
              <w:autoSpaceDN w:val="0"/>
              <w:adjustRightInd w:val="0"/>
              <w:jc w:val="center"/>
              <w:rPr>
                <w:rFonts w:ascii="Times New Roman" w:hAnsi="Times New Roman" w:cs="Times New Roman"/>
                <w:sz w:val="24"/>
                <w:szCs w:val="24"/>
              </w:rPr>
            </w:pPr>
            <w:r w:rsidRPr="00C17F9C">
              <w:rPr>
                <w:rFonts w:ascii="Times New Roman" w:hAnsi="Times New Roman" w:cs="Times New Roman"/>
                <w:sz w:val="24"/>
                <w:szCs w:val="24"/>
              </w:rPr>
              <w:lastRenderedPageBreak/>
              <w:t>1</w:t>
            </w:r>
            <w:r w:rsidR="00254021">
              <w:rPr>
                <w:rFonts w:ascii="Times New Roman" w:hAnsi="Times New Roman" w:cs="Times New Roman"/>
                <w:sz w:val="24"/>
                <w:szCs w:val="24"/>
              </w:rPr>
              <w:t>,0</w:t>
            </w:r>
          </w:p>
        </w:tc>
      </w:tr>
      <w:tr w:rsidR="00C3311C" w:rsidRPr="00F902F8" w14:paraId="07C1A02F" w14:textId="77777777" w:rsidTr="00C3311C">
        <w:trPr>
          <w:trHeight w:val="558"/>
        </w:trPr>
        <w:tc>
          <w:tcPr>
            <w:tcW w:w="5670" w:type="dxa"/>
            <w:vAlign w:val="center"/>
          </w:tcPr>
          <w:p w14:paraId="587E6AEB" w14:textId="27900393" w:rsidR="00C3311C" w:rsidRPr="00C3311C" w:rsidRDefault="00C3311C" w:rsidP="00C3311C">
            <w:pPr>
              <w:autoSpaceDE w:val="0"/>
              <w:autoSpaceDN w:val="0"/>
              <w:adjustRightInd w:val="0"/>
              <w:jc w:val="both"/>
              <w:rPr>
                <w:rFonts w:ascii="Times New Roman" w:hAnsi="Times New Roman" w:cs="Times New Roman"/>
                <w:b/>
                <w:sz w:val="24"/>
                <w:szCs w:val="24"/>
              </w:rPr>
            </w:pPr>
            <w:r w:rsidRPr="00C3311C">
              <w:rPr>
                <w:rFonts w:ascii="Times New Roman" w:hAnsi="Times New Roman" w:cs="Times New Roman"/>
                <w:iCs/>
                <w:sz w:val="24"/>
                <w:szCs w:val="24"/>
              </w:rPr>
              <w:t>Informavimas apie tyrimų rezultatus. Pieno supirkimo nutraukimo ir atstatymo tvarka.</w:t>
            </w:r>
          </w:p>
        </w:tc>
        <w:tc>
          <w:tcPr>
            <w:tcW w:w="5238" w:type="dxa"/>
            <w:tcBorders>
              <w:top w:val="single" w:sz="4" w:space="0" w:color="auto"/>
              <w:bottom w:val="single" w:sz="4" w:space="0" w:color="auto"/>
            </w:tcBorders>
            <w:vAlign w:val="center"/>
          </w:tcPr>
          <w:p w14:paraId="04D8AF16" w14:textId="56AAAF6B" w:rsidR="00C3311C" w:rsidRPr="00C17F9C" w:rsidRDefault="00E942FF" w:rsidP="00C3311C">
            <w:pPr>
              <w:autoSpaceDE w:val="0"/>
              <w:autoSpaceDN w:val="0"/>
              <w:adjustRightInd w:val="0"/>
              <w:jc w:val="center"/>
              <w:rPr>
                <w:rFonts w:ascii="Times New Roman" w:hAnsi="Times New Roman" w:cs="Times New Roman"/>
                <w:sz w:val="24"/>
                <w:szCs w:val="24"/>
              </w:rPr>
            </w:pPr>
            <w:r w:rsidRPr="00C17F9C">
              <w:rPr>
                <w:rFonts w:ascii="Times New Roman" w:hAnsi="Times New Roman" w:cs="Times New Roman"/>
                <w:sz w:val="24"/>
                <w:szCs w:val="24"/>
              </w:rPr>
              <w:t>0,5</w:t>
            </w:r>
          </w:p>
        </w:tc>
      </w:tr>
      <w:tr w:rsidR="00C3311C" w:rsidRPr="00F902F8" w14:paraId="788BE62D" w14:textId="77777777" w:rsidTr="00C3311C">
        <w:trPr>
          <w:trHeight w:val="558"/>
        </w:trPr>
        <w:tc>
          <w:tcPr>
            <w:tcW w:w="5670" w:type="dxa"/>
            <w:vAlign w:val="center"/>
          </w:tcPr>
          <w:p w14:paraId="3CA180EC" w14:textId="40497889" w:rsidR="00C3311C" w:rsidRPr="00C3311C" w:rsidRDefault="00C3311C" w:rsidP="00C3311C">
            <w:pPr>
              <w:autoSpaceDE w:val="0"/>
              <w:autoSpaceDN w:val="0"/>
              <w:adjustRightInd w:val="0"/>
              <w:jc w:val="both"/>
              <w:rPr>
                <w:rFonts w:ascii="Times New Roman" w:hAnsi="Times New Roman" w:cs="Times New Roman"/>
                <w:b/>
                <w:sz w:val="24"/>
                <w:szCs w:val="24"/>
              </w:rPr>
            </w:pPr>
            <w:r w:rsidRPr="00C3311C">
              <w:rPr>
                <w:rFonts w:ascii="Times New Roman" w:hAnsi="Times New Roman" w:cs="Times New Roman"/>
                <w:iCs/>
                <w:sz w:val="24"/>
                <w:szCs w:val="24"/>
              </w:rPr>
              <w:t>Pieno tyrimų duomenų bazės analizė.</w:t>
            </w:r>
          </w:p>
        </w:tc>
        <w:tc>
          <w:tcPr>
            <w:tcW w:w="5238" w:type="dxa"/>
            <w:tcBorders>
              <w:top w:val="single" w:sz="4" w:space="0" w:color="auto"/>
              <w:bottom w:val="single" w:sz="4" w:space="0" w:color="auto"/>
            </w:tcBorders>
            <w:vAlign w:val="center"/>
          </w:tcPr>
          <w:p w14:paraId="1ADBAD16" w14:textId="2988B1BC" w:rsidR="00C3311C" w:rsidRPr="00C17F9C" w:rsidRDefault="00E942FF" w:rsidP="00C3311C">
            <w:pPr>
              <w:autoSpaceDE w:val="0"/>
              <w:autoSpaceDN w:val="0"/>
              <w:adjustRightInd w:val="0"/>
              <w:jc w:val="center"/>
              <w:rPr>
                <w:rFonts w:ascii="Times New Roman" w:hAnsi="Times New Roman" w:cs="Times New Roman"/>
                <w:sz w:val="24"/>
                <w:szCs w:val="24"/>
              </w:rPr>
            </w:pPr>
            <w:r w:rsidRPr="00C17F9C">
              <w:rPr>
                <w:rFonts w:ascii="Times New Roman" w:hAnsi="Times New Roman" w:cs="Times New Roman"/>
                <w:sz w:val="24"/>
                <w:szCs w:val="24"/>
              </w:rPr>
              <w:t>2</w:t>
            </w:r>
            <w:r w:rsidR="00254021">
              <w:rPr>
                <w:rFonts w:ascii="Times New Roman" w:hAnsi="Times New Roman" w:cs="Times New Roman"/>
                <w:sz w:val="24"/>
                <w:szCs w:val="24"/>
              </w:rPr>
              <w:t>,0</w:t>
            </w:r>
          </w:p>
        </w:tc>
      </w:tr>
      <w:tr w:rsidR="00C3311C" w:rsidRPr="00F902F8" w14:paraId="3EA6751D" w14:textId="77777777" w:rsidTr="00C3311C">
        <w:trPr>
          <w:trHeight w:val="558"/>
        </w:trPr>
        <w:tc>
          <w:tcPr>
            <w:tcW w:w="5670" w:type="dxa"/>
            <w:vAlign w:val="center"/>
          </w:tcPr>
          <w:p w14:paraId="78C85EDE" w14:textId="2AF17BD6" w:rsidR="00C3311C" w:rsidRPr="00C3311C" w:rsidRDefault="00C3311C" w:rsidP="00C3311C">
            <w:pPr>
              <w:autoSpaceDE w:val="0"/>
              <w:autoSpaceDN w:val="0"/>
              <w:adjustRightInd w:val="0"/>
              <w:jc w:val="both"/>
              <w:rPr>
                <w:rFonts w:ascii="Times New Roman" w:hAnsi="Times New Roman" w:cs="Times New Roman"/>
                <w:b/>
                <w:sz w:val="24"/>
                <w:szCs w:val="24"/>
              </w:rPr>
            </w:pPr>
            <w:r w:rsidRPr="00C3311C">
              <w:rPr>
                <w:rFonts w:ascii="Times New Roman" w:hAnsi="Times New Roman" w:cs="Times New Roman"/>
                <w:iCs/>
                <w:sz w:val="24"/>
                <w:szCs w:val="24"/>
              </w:rPr>
              <w:t>Pieno mėginių paėmimo priemonės ir pieno mėginių gabenimo tara. Pieno mėginio paėmimas, konservavimas ir laikymas.</w:t>
            </w:r>
          </w:p>
        </w:tc>
        <w:tc>
          <w:tcPr>
            <w:tcW w:w="5238" w:type="dxa"/>
            <w:tcBorders>
              <w:top w:val="single" w:sz="4" w:space="0" w:color="auto"/>
              <w:bottom w:val="single" w:sz="4" w:space="0" w:color="auto"/>
            </w:tcBorders>
            <w:vAlign w:val="center"/>
          </w:tcPr>
          <w:p w14:paraId="39EC708C" w14:textId="24C943CE" w:rsidR="00C3311C" w:rsidRPr="00C3311C" w:rsidRDefault="00C3311C" w:rsidP="00C3311C">
            <w:pPr>
              <w:autoSpaceDE w:val="0"/>
              <w:autoSpaceDN w:val="0"/>
              <w:adjustRightInd w:val="0"/>
              <w:jc w:val="center"/>
              <w:rPr>
                <w:rFonts w:ascii="Times New Roman" w:hAnsi="Times New Roman" w:cs="Times New Roman"/>
                <w:b/>
                <w:bCs/>
                <w:sz w:val="24"/>
                <w:szCs w:val="24"/>
              </w:rPr>
            </w:pPr>
            <w:r w:rsidRPr="00C3311C">
              <w:rPr>
                <w:rFonts w:ascii="Times New Roman" w:hAnsi="Times New Roman" w:cs="Times New Roman"/>
                <w:sz w:val="24"/>
                <w:szCs w:val="24"/>
              </w:rPr>
              <w:t>1</w:t>
            </w:r>
            <w:r w:rsidR="00254021">
              <w:rPr>
                <w:rFonts w:ascii="Times New Roman" w:hAnsi="Times New Roman" w:cs="Times New Roman"/>
                <w:sz w:val="24"/>
                <w:szCs w:val="24"/>
              </w:rPr>
              <w:t>,0</w:t>
            </w:r>
          </w:p>
        </w:tc>
      </w:tr>
      <w:tr w:rsidR="00C3311C" w:rsidRPr="00F902F8" w14:paraId="78290ACB" w14:textId="77777777" w:rsidTr="00C3311C">
        <w:trPr>
          <w:trHeight w:val="558"/>
        </w:trPr>
        <w:tc>
          <w:tcPr>
            <w:tcW w:w="5670" w:type="dxa"/>
            <w:vAlign w:val="center"/>
          </w:tcPr>
          <w:p w14:paraId="4F0B95AB" w14:textId="6674DDB1" w:rsidR="00C3311C" w:rsidRPr="00C3311C" w:rsidRDefault="00C3311C" w:rsidP="00C3311C">
            <w:pPr>
              <w:autoSpaceDE w:val="0"/>
              <w:autoSpaceDN w:val="0"/>
              <w:adjustRightInd w:val="0"/>
              <w:jc w:val="both"/>
              <w:rPr>
                <w:rFonts w:ascii="Times New Roman" w:hAnsi="Times New Roman" w:cs="Times New Roman"/>
                <w:b/>
                <w:sz w:val="24"/>
                <w:szCs w:val="24"/>
              </w:rPr>
            </w:pPr>
            <w:r w:rsidRPr="00C3311C">
              <w:rPr>
                <w:rFonts w:ascii="Times New Roman" w:hAnsi="Times New Roman" w:cs="Times New Roman"/>
                <w:iCs/>
                <w:sz w:val="24"/>
                <w:szCs w:val="24"/>
              </w:rPr>
              <w:t>Praktinis darbas. Teisingai paimti ir paruošti pieno mėginius pieno sudėties ir kokybės tyrimui.</w:t>
            </w:r>
          </w:p>
        </w:tc>
        <w:tc>
          <w:tcPr>
            <w:tcW w:w="5238" w:type="dxa"/>
            <w:tcBorders>
              <w:top w:val="single" w:sz="4" w:space="0" w:color="auto"/>
              <w:bottom w:val="single" w:sz="4" w:space="0" w:color="auto"/>
            </w:tcBorders>
            <w:vAlign w:val="center"/>
          </w:tcPr>
          <w:p w14:paraId="0A79A7DA" w14:textId="68D5DF8F" w:rsidR="00C3311C" w:rsidRPr="00C3311C" w:rsidRDefault="00C3311C" w:rsidP="00C3311C">
            <w:pPr>
              <w:autoSpaceDE w:val="0"/>
              <w:autoSpaceDN w:val="0"/>
              <w:adjustRightInd w:val="0"/>
              <w:jc w:val="center"/>
              <w:rPr>
                <w:rFonts w:ascii="Times New Roman" w:hAnsi="Times New Roman" w:cs="Times New Roman"/>
                <w:b/>
                <w:bCs/>
                <w:sz w:val="24"/>
                <w:szCs w:val="24"/>
              </w:rPr>
            </w:pPr>
            <w:r w:rsidRPr="00C3311C">
              <w:rPr>
                <w:rFonts w:ascii="Times New Roman" w:hAnsi="Times New Roman" w:cs="Times New Roman"/>
                <w:bCs/>
                <w:sz w:val="24"/>
                <w:szCs w:val="24"/>
              </w:rPr>
              <w:t>1</w:t>
            </w:r>
            <w:r w:rsidR="00254021">
              <w:rPr>
                <w:rFonts w:ascii="Times New Roman" w:hAnsi="Times New Roman" w:cs="Times New Roman"/>
                <w:bCs/>
                <w:sz w:val="24"/>
                <w:szCs w:val="24"/>
              </w:rPr>
              <w:t>,0</w:t>
            </w:r>
          </w:p>
        </w:tc>
      </w:tr>
      <w:tr w:rsidR="00C3311C" w:rsidRPr="00F902F8" w14:paraId="1A44411B" w14:textId="77777777" w:rsidTr="00C3311C">
        <w:trPr>
          <w:trHeight w:val="558"/>
        </w:trPr>
        <w:tc>
          <w:tcPr>
            <w:tcW w:w="5670" w:type="dxa"/>
            <w:vAlign w:val="center"/>
          </w:tcPr>
          <w:p w14:paraId="341B80B4" w14:textId="6F33DD19" w:rsidR="00C3311C" w:rsidRPr="00C3311C" w:rsidRDefault="00C3311C" w:rsidP="00C3311C">
            <w:pPr>
              <w:autoSpaceDE w:val="0"/>
              <w:autoSpaceDN w:val="0"/>
              <w:adjustRightInd w:val="0"/>
              <w:jc w:val="both"/>
              <w:rPr>
                <w:rFonts w:ascii="Times New Roman" w:hAnsi="Times New Roman" w:cs="Times New Roman"/>
                <w:b/>
                <w:sz w:val="24"/>
                <w:szCs w:val="24"/>
              </w:rPr>
            </w:pPr>
            <w:r w:rsidRPr="00C3311C">
              <w:rPr>
                <w:rFonts w:ascii="Times New Roman" w:hAnsi="Times New Roman" w:cs="Times New Roman"/>
                <w:iCs/>
                <w:sz w:val="24"/>
                <w:szCs w:val="24"/>
              </w:rPr>
              <w:t>Pieno mėginių išsiuntimas į įgaliotąją laboratoriją. Konteinerių su pieno mėginiais plombavimas. Pieno mėginių dokumentų pildymas.</w:t>
            </w:r>
          </w:p>
        </w:tc>
        <w:tc>
          <w:tcPr>
            <w:tcW w:w="5238" w:type="dxa"/>
            <w:tcBorders>
              <w:top w:val="single" w:sz="4" w:space="0" w:color="auto"/>
              <w:bottom w:val="single" w:sz="4" w:space="0" w:color="auto"/>
            </w:tcBorders>
            <w:vAlign w:val="center"/>
          </w:tcPr>
          <w:p w14:paraId="1E255BEC" w14:textId="33B5F63A" w:rsidR="00C3311C" w:rsidRPr="00C3311C" w:rsidRDefault="00C3311C" w:rsidP="00C3311C">
            <w:pPr>
              <w:autoSpaceDE w:val="0"/>
              <w:autoSpaceDN w:val="0"/>
              <w:adjustRightInd w:val="0"/>
              <w:jc w:val="center"/>
              <w:rPr>
                <w:rFonts w:ascii="Times New Roman" w:hAnsi="Times New Roman" w:cs="Times New Roman"/>
                <w:b/>
                <w:bCs/>
                <w:sz w:val="24"/>
                <w:szCs w:val="24"/>
              </w:rPr>
            </w:pPr>
            <w:r w:rsidRPr="00C3311C">
              <w:rPr>
                <w:rFonts w:ascii="Times New Roman" w:hAnsi="Times New Roman" w:cs="Times New Roman"/>
                <w:sz w:val="24"/>
                <w:szCs w:val="24"/>
              </w:rPr>
              <w:t>0,5</w:t>
            </w:r>
          </w:p>
        </w:tc>
      </w:tr>
      <w:tr w:rsidR="00C3311C" w:rsidRPr="00F902F8" w14:paraId="6FEC59BC" w14:textId="77777777" w:rsidTr="00C3311C">
        <w:trPr>
          <w:trHeight w:val="558"/>
        </w:trPr>
        <w:tc>
          <w:tcPr>
            <w:tcW w:w="5670" w:type="dxa"/>
            <w:vAlign w:val="center"/>
          </w:tcPr>
          <w:p w14:paraId="15B87D47" w14:textId="66B3E982" w:rsidR="00C3311C" w:rsidRPr="00C3311C" w:rsidRDefault="00C3311C" w:rsidP="00C3311C">
            <w:pPr>
              <w:autoSpaceDE w:val="0"/>
              <w:autoSpaceDN w:val="0"/>
              <w:adjustRightInd w:val="0"/>
              <w:jc w:val="both"/>
              <w:rPr>
                <w:rFonts w:ascii="Times New Roman" w:hAnsi="Times New Roman" w:cs="Times New Roman"/>
                <w:b/>
                <w:sz w:val="24"/>
                <w:szCs w:val="24"/>
              </w:rPr>
            </w:pPr>
            <w:r w:rsidRPr="00C3311C">
              <w:rPr>
                <w:rFonts w:ascii="Times New Roman" w:hAnsi="Times New Roman" w:cs="Times New Roman"/>
                <w:iCs/>
                <w:sz w:val="24"/>
                <w:szCs w:val="24"/>
              </w:rPr>
              <w:t>Praktinis darbas. Teisingai užplombuoti konteinerius. Užpildyti pieno mėginių dokumentus.</w:t>
            </w:r>
          </w:p>
        </w:tc>
        <w:tc>
          <w:tcPr>
            <w:tcW w:w="5238" w:type="dxa"/>
            <w:tcBorders>
              <w:top w:val="single" w:sz="4" w:space="0" w:color="auto"/>
              <w:bottom w:val="single" w:sz="4" w:space="0" w:color="auto"/>
            </w:tcBorders>
            <w:vAlign w:val="center"/>
          </w:tcPr>
          <w:p w14:paraId="61AAC8F5" w14:textId="4901D35A" w:rsidR="00C3311C" w:rsidRPr="00C3311C" w:rsidRDefault="00C3311C" w:rsidP="00C3311C">
            <w:pPr>
              <w:autoSpaceDE w:val="0"/>
              <w:autoSpaceDN w:val="0"/>
              <w:adjustRightInd w:val="0"/>
              <w:jc w:val="center"/>
              <w:rPr>
                <w:rFonts w:ascii="Times New Roman" w:hAnsi="Times New Roman" w:cs="Times New Roman"/>
                <w:b/>
                <w:bCs/>
                <w:sz w:val="24"/>
                <w:szCs w:val="24"/>
              </w:rPr>
            </w:pPr>
            <w:r w:rsidRPr="00C3311C">
              <w:rPr>
                <w:rFonts w:ascii="Times New Roman" w:hAnsi="Times New Roman" w:cs="Times New Roman"/>
                <w:bCs/>
                <w:sz w:val="24"/>
                <w:szCs w:val="24"/>
              </w:rPr>
              <w:t>1</w:t>
            </w:r>
            <w:r w:rsidR="00100FA5">
              <w:rPr>
                <w:rFonts w:ascii="Times New Roman" w:hAnsi="Times New Roman" w:cs="Times New Roman"/>
                <w:bCs/>
                <w:sz w:val="24"/>
                <w:szCs w:val="24"/>
              </w:rPr>
              <w:t>,0</w:t>
            </w:r>
          </w:p>
        </w:tc>
      </w:tr>
      <w:tr w:rsidR="00C3311C" w:rsidRPr="00F902F8" w14:paraId="598917C6" w14:textId="77777777" w:rsidTr="00C3311C">
        <w:trPr>
          <w:trHeight w:val="558"/>
        </w:trPr>
        <w:tc>
          <w:tcPr>
            <w:tcW w:w="5670" w:type="dxa"/>
            <w:vAlign w:val="center"/>
          </w:tcPr>
          <w:p w14:paraId="38035EF1" w14:textId="1114BFF2" w:rsidR="00C3311C" w:rsidRPr="00C3311C" w:rsidRDefault="00C3311C" w:rsidP="00C3311C">
            <w:pPr>
              <w:autoSpaceDE w:val="0"/>
              <w:autoSpaceDN w:val="0"/>
              <w:adjustRightInd w:val="0"/>
              <w:jc w:val="both"/>
              <w:rPr>
                <w:rFonts w:ascii="Times New Roman" w:hAnsi="Times New Roman" w:cs="Times New Roman"/>
                <w:b/>
                <w:sz w:val="24"/>
                <w:szCs w:val="24"/>
              </w:rPr>
            </w:pPr>
            <w:r w:rsidRPr="00C3311C">
              <w:rPr>
                <w:rFonts w:ascii="Times New Roman" w:hAnsi="Times New Roman" w:cs="Times New Roman"/>
                <w:iCs/>
                <w:sz w:val="24"/>
                <w:szCs w:val="24"/>
              </w:rPr>
              <w:t xml:space="preserve">Priimamo žalio pieno kiekio nustatymas. Superkamo pieno apskaita. </w:t>
            </w:r>
          </w:p>
        </w:tc>
        <w:tc>
          <w:tcPr>
            <w:tcW w:w="5238" w:type="dxa"/>
            <w:tcBorders>
              <w:top w:val="single" w:sz="4" w:space="0" w:color="auto"/>
              <w:bottom w:val="single" w:sz="4" w:space="0" w:color="auto"/>
            </w:tcBorders>
            <w:vAlign w:val="center"/>
          </w:tcPr>
          <w:p w14:paraId="745E1CF0" w14:textId="641451C5" w:rsidR="00C3311C" w:rsidRPr="00C3311C" w:rsidRDefault="00C3311C" w:rsidP="00C3311C">
            <w:pPr>
              <w:autoSpaceDE w:val="0"/>
              <w:autoSpaceDN w:val="0"/>
              <w:adjustRightInd w:val="0"/>
              <w:jc w:val="center"/>
              <w:rPr>
                <w:rFonts w:ascii="Times New Roman" w:hAnsi="Times New Roman" w:cs="Times New Roman"/>
                <w:b/>
                <w:bCs/>
                <w:sz w:val="24"/>
                <w:szCs w:val="24"/>
              </w:rPr>
            </w:pPr>
            <w:r w:rsidRPr="00C3311C">
              <w:rPr>
                <w:rFonts w:ascii="Times New Roman" w:hAnsi="Times New Roman" w:cs="Times New Roman"/>
                <w:sz w:val="24"/>
                <w:szCs w:val="24"/>
              </w:rPr>
              <w:t>0,5</w:t>
            </w:r>
          </w:p>
        </w:tc>
      </w:tr>
      <w:tr w:rsidR="00C3311C" w:rsidRPr="00F902F8" w14:paraId="11FD28BE" w14:textId="77777777" w:rsidTr="00C3311C">
        <w:trPr>
          <w:trHeight w:val="558"/>
        </w:trPr>
        <w:tc>
          <w:tcPr>
            <w:tcW w:w="5670" w:type="dxa"/>
            <w:vAlign w:val="center"/>
          </w:tcPr>
          <w:p w14:paraId="55EEFF02" w14:textId="7A91EEDF" w:rsidR="00C3311C" w:rsidRPr="00C3311C" w:rsidRDefault="00C3311C" w:rsidP="00C3311C">
            <w:pPr>
              <w:autoSpaceDE w:val="0"/>
              <w:autoSpaceDN w:val="0"/>
              <w:adjustRightInd w:val="0"/>
              <w:jc w:val="both"/>
              <w:rPr>
                <w:rFonts w:ascii="Times New Roman" w:hAnsi="Times New Roman" w:cs="Times New Roman"/>
                <w:b/>
                <w:sz w:val="24"/>
                <w:szCs w:val="24"/>
              </w:rPr>
            </w:pPr>
            <w:r w:rsidRPr="00C3311C">
              <w:rPr>
                <w:rFonts w:ascii="Times New Roman" w:hAnsi="Times New Roman" w:cs="Times New Roman"/>
                <w:iCs/>
                <w:sz w:val="24"/>
                <w:szCs w:val="24"/>
              </w:rPr>
              <w:t>Praktinis darbas. Užpildyti reikiamus pieno pirkimo – pardavimo dokumentus.</w:t>
            </w:r>
          </w:p>
        </w:tc>
        <w:tc>
          <w:tcPr>
            <w:tcW w:w="5238" w:type="dxa"/>
            <w:tcBorders>
              <w:top w:val="single" w:sz="4" w:space="0" w:color="auto"/>
              <w:bottom w:val="single" w:sz="4" w:space="0" w:color="auto"/>
            </w:tcBorders>
            <w:vAlign w:val="center"/>
          </w:tcPr>
          <w:p w14:paraId="4CB9E118" w14:textId="76474FF2" w:rsidR="00C3311C" w:rsidRPr="00C17F9C" w:rsidRDefault="002D7F7A" w:rsidP="00C3311C">
            <w:pPr>
              <w:autoSpaceDE w:val="0"/>
              <w:autoSpaceDN w:val="0"/>
              <w:adjustRightInd w:val="0"/>
              <w:jc w:val="center"/>
              <w:rPr>
                <w:rFonts w:ascii="Times New Roman" w:hAnsi="Times New Roman" w:cs="Times New Roman"/>
                <w:sz w:val="24"/>
                <w:szCs w:val="24"/>
              </w:rPr>
            </w:pPr>
            <w:r w:rsidRPr="00C17F9C">
              <w:rPr>
                <w:rFonts w:ascii="Times New Roman" w:hAnsi="Times New Roman" w:cs="Times New Roman"/>
                <w:sz w:val="24"/>
                <w:szCs w:val="24"/>
              </w:rPr>
              <w:t>1</w:t>
            </w:r>
            <w:r w:rsidR="00100FA5">
              <w:rPr>
                <w:rFonts w:ascii="Times New Roman" w:hAnsi="Times New Roman" w:cs="Times New Roman"/>
                <w:sz w:val="24"/>
                <w:szCs w:val="24"/>
              </w:rPr>
              <w:t>,0</w:t>
            </w:r>
          </w:p>
        </w:tc>
      </w:tr>
      <w:tr w:rsidR="00C3311C" w:rsidRPr="00F902F8" w14:paraId="1621963E" w14:textId="77777777" w:rsidTr="00C3311C">
        <w:trPr>
          <w:trHeight w:val="558"/>
        </w:trPr>
        <w:tc>
          <w:tcPr>
            <w:tcW w:w="5670" w:type="dxa"/>
            <w:vAlign w:val="center"/>
          </w:tcPr>
          <w:p w14:paraId="58997947" w14:textId="66551862" w:rsidR="00C3311C" w:rsidRPr="00C3311C" w:rsidRDefault="00C3311C" w:rsidP="00C3311C">
            <w:pPr>
              <w:autoSpaceDE w:val="0"/>
              <w:autoSpaceDN w:val="0"/>
              <w:adjustRightInd w:val="0"/>
              <w:jc w:val="both"/>
              <w:rPr>
                <w:rFonts w:ascii="Times New Roman" w:hAnsi="Times New Roman" w:cs="Times New Roman"/>
                <w:b/>
                <w:sz w:val="24"/>
                <w:szCs w:val="24"/>
              </w:rPr>
            </w:pPr>
            <w:r w:rsidRPr="00C3311C">
              <w:rPr>
                <w:rFonts w:ascii="Times New Roman" w:hAnsi="Times New Roman" w:cs="Times New Roman"/>
                <w:iCs/>
                <w:sz w:val="24"/>
                <w:szCs w:val="24"/>
              </w:rPr>
              <w:t xml:space="preserve">Pieno supirkimo taisyklių reikalavimai gamintojams, supirkėjams ir įgaliotajai laboratorijai. </w:t>
            </w:r>
          </w:p>
        </w:tc>
        <w:tc>
          <w:tcPr>
            <w:tcW w:w="5238" w:type="dxa"/>
            <w:tcBorders>
              <w:top w:val="single" w:sz="4" w:space="0" w:color="auto"/>
              <w:bottom w:val="single" w:sz="4" w:space="0" w:color="auto"/>
            </w:tcBorders>
            <w:vAlign w:val="center"/>
          </w:tcPr>
          <w:p w14:paraId="12CE79C1" w14:textId="2D7F5DA6" w:rsidR="00C3311C" w:rsidRPr="00C17F9C" w:rsidRDefault="0085478F" w:rsidP="00C3311C">
            <w:pPr>
              <w:autoSpaceDE w:val="0"/>
              <w:autoSpaceDN w:val="0"/>
              <w:adjustRightInd w:val="0"/>
              <w:jc w:val="center"/>
              <w:rPr>
                <w:rFonts w:ascii="Times New Roman" w:hAnsi="Times New Roman" w:cs="Times New Roman"/>
                <w:sz w:val="24"/>
                <w:szCs w:val="24"/>
              </w:rPr>
            </w:pPr>
            <w:r w:rsidRPr="00C17F9C">
              <w:rPr>
                <w:rFonts w:ascii="Times New Roman" w:hAnsi="Times New Roman" w:cs="Times New Roman"/>
                <w:sz w:val="24"/>
                <w:szCs w:val="24"/>
              </w:rPr>
              <w:t>0,5</w:t>
            </w:r>
          </w:p>
        </w:tc>
      </w:tr>
      <w:tr w:rsidR="00C3311C" w:rsidRPr="00F902F8" w14:paraId="2A4A16E4" w14:textId="77777777" w:rsidTr="00C3311C">
        <w:trPr>
          <w:trHeight w:val="558"/>
        </w:trPr>
        <w:tc>
          <w:tcPr>
            <w:tcW w:w="5670" w:type="dxa"/>
            <w:vAlign w:val="center"/>
          </w:tcPr>
          <w:p w14:paraId="35828B37" w14:textId="2129D920" w:rsidR="00C3311C" w:rsidRPr="00C3311C" w:rsidRDefault="00C3311C" w:rsidP="00C3311C">
            <w:pPr>
              <w:autoSpaceDE w:val="0"/>
              <w:autoSpaceDN w:val="0"/>
              <w:adjustRightInd w:val="0"/>
              <w:jc w:val="both"/>
              <w:rPr>
                <w:rFonts w:ascii="Times New Roman" w:hAnsi="Times New Roman" w:cs="Times New Roman"/>
                <w:b/>
                <w:sz w:val="24"/>
                <w:szCs w:val="24"/>
              </w:rPr>
            </w:pPr>
            <w:r w:rsidRPr="00C3311C">
              <w:rPr>
                <w:rFonts w:ascii="Times New Roman" w:hAnsi="Times New Roman" w:cs="Times New Roman"/>
                <w:iCs/>
                <w:sz w:val="24"/>
                <w:szCs w:val="24"/>
              </w:rPr>
              <w:t>Aplinkosaugos reikalavimai pieno supirkimo punktams.</w:t>
            </w:r>
            <w:r w:rsidRPr="00C3311C">
              <w:rPr>
                <w:rFonts w:ascii="Times New Roman" w:hAnsi="Times New Roman" w:cs="Times New Roman"/>
                <w:iCs/>
                <w:color w:val="000000"/>
                <w:sz w:val="24"/>
                <w:szCs w:val="24"/>
              </w:rPr>
              <w:t xml:space="preserve"> Rizikos veiksnių svarbių valdymo taškų analizė.</w:t>
            </w:r>
          </w:p>
        </w:tc>
        <w:tc>
          <w:tcPr>
            <w:tcW w:w="5238" w:type="dxa"/>
            <w:tcBorders>
              <w:top w:val="single" w:sz="4" w:space="0" w:color="auto"/>
              <w:bottom w:val="single" w:sz="4" w:space="0" w:color="auto"/>
            </w:tcBorders>
            <w:vAlign w:val="center"/>
          </w:tcPr>
          <w:p w14:paraId="6C2388F5" w14:textId="5D7B6AA7" w:rsidR="00C3311C" w:rsidRPr="00C3311C" w:rsidRDefault="00C3311C" w:rsidP="00C3311C">
            <w:pPr>
              <w:autoSpaceDE w:val="0"/>
              <w:autoSpaceDN w:val="0"/>
              <w:adjustRightInd w:val="0"/>
              <w:jc w:val="center"/>
              <w:rPr>
                <w:rFonts w:ascii="Times New Roman" w:hAnsi="Times New Roman" w:cs="Times New Roman"/>
                <w:b/>
                <w:bCs/>
                <w:sz w:val="24"/>
                <w:szCs w:val="24"/>
              </w:rPr>
            </w:pPr>
            <w:r w:rsidRPr="00C3311C">
              <w:rPr>
                <w:rFonts w:ascii="Times New Roman" w:hAnsi="Times New Roman" w:cs="Times New Roman"/>
                <w:sz w:val="24"/>
                <w:szCs w:val="24"/>
              </w:rPr>
              <w:t>0,5</w:t>
            </w:r>
          </w:p>
        </w:tc>
      </w:tr>
      <w:tr w:rsidR="00100FA5" w:rsidRPr="00F902F8" w14:paraId="26BC70B7" w14:textId="77777777" w:rsidTr="00C3311C">
        <w:trPr>
          <w:trHeight w:val="558"/>
        </w:trPr>
        <w:tc>
          <w:tcPr>
            <w:tcW w:w="5670" w:type="dxa"/>
            <w:vAlign w:val="center"/>
          </w:tcPr>
          <w:p w14:paraId="52C2B850" w14:textId="2801FC32" w:rsidR="00100FA5" w:rsidRPr="00C3311C" w:rsidRDefault="00512FC9" w:rsidP="00C3311C">
            <w:pPr>
              <w:autoSpaceDE w:val="0"/>
              <w:autoSpaceDN w:val="0"/>
              <w:adjustRightInd w:val="0"/>
              <w:jc w:val="both"/>
              <w:rPr>
                <w:rFonts w:ascii="Times New Roman" w:hAnsi="Times New Roman" w:cs="Times New Roman"/>
                <w:iCs/>
                <w:sz w:val="24"/>
                <w:szCs w:val="24"/>
              </w:rPr>
            </w:pPr>
            <w:r w:rsidRPr="00512FC9">
              <w:rPr>
                <w:rFonts w:ascii="Times New Roman" w:eastAsia="Times New Roman" w:hAnsi="Times New Roman" w:cs="Times New Roman"/>
                <w:sz w:val="24"/>
                <w:szCs w:val="24"/>
                <w:lang w:val="x-none"/>
              </w:rPr>
              <w:t xml:space="preserve">Biosaugos reikalavimai ir jų taikymas </w:t>
            </w:r>
            <w:r w:rsidRPr="00512FC9">
              <w:rPr>
                <w:rFonts w:ascii="Times New Roman" w:eastAsia="Times New Roman" w:hAnsi="Times New Roman" w:cs="Times New Roman"/>
                <w:sz w:val="24"/>
                <w:szCs w:val="24"/>
              </w:rPr>
              <w:t xml:space="preserve">galvijų </w:t>
            </w:r>
            <w:r w:rsidRPr="00512FC9">
              <w:rPr>
                <w:rFonts w:ascii="Times New Roman" w:eastAsia="Times New Roman" w:hAnsi="Times New Roman" w:cs="Times New Roman"/>
                <w:sz w:val="24"/>
                <w:szCs w:val="24"/>
                <w:lang w:val="x-none"/>
              </w:rPr>
              <w:t>ūkiuose. Gyvūnų užkrečiamos ligos (pvz.: snukio ir nagų liga, mėlynojo liežuvio liga). Galimi rizikos faktoriai ir jų vertinimas.</w:t>
            </w:r>
          </w:p>
        </w:tc>
        <w:tc>
          <w:tcPr>
            <w:tcW w:w="5238" w:type="dxa"/>
            <w:tcBorders>
              <w:top w:val="single" w:sz="4" w:space="0" w:color="auto"/>
              <w:bottom w:val="single" w:sz="4" w:space="0" w:color="auto"/>
            </w:tcBorders>
            <w:vAlign w:val="center"/>
          </w:tcPr>
          <w:p w14:paraId="1325A876" w14:textId="61AA7DE8" w:rsidR="00100FA5" w:rsidRPr="00C3311C" w:rsidRDefault="00512FC9" w:rsidP="00C3311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r>
      <w:tr w:rsidR="00C3311C" w:rsidRPr="00F902F8" w14:paraId="44EC5760" w14:textId="77777777" w:rsidTr="00C3311C">
        <w:trPr>
          <w:trHeight w:val="558"/>
        </w:trPr>
        <w:tc>
          <w:tcPr>
            <w:tcW w:w="5670" w:type="dxa"/>
            <w:vAlign w:val="center"/>
          </w:tcPr>
          <w:p w14:paraId="33DE0C51" w14:textId="62B77430" w:rsidR="00C3311C" w:rsidRPr="00C3311C" w:rsidRDefault="00C3311C" w:rsidP="00C3311C">
            <w:pPr>
              <w:autoSpaceDE w:val="0"/>
              <w:autoSpaceDN w:val="0"/>
              <w:adjustRightInd w:val="0"/>
              <w:jc w:val="both"/>
              <w:rPr>
                <w:rFonts w:ascii="Times New Roman" w:hAnsi="Times New Roman" w:cs="Times New Roman"/>
                <w:b/>
                <w:sz w:val="24"/>
                <w:szCs w:val="24"/>
              </w:rPr>
            </w:pPr>
            <w:r w:rsidRPr="00C3311C">
              <w:rPr>
                <w:rFonts w:ascii="Times New Roman" w:hAnsi="Times New Roman" w:cs="Times New Roman"/>
                <w:iCs/>
                <w:sz w:val="24"/>
                <w:szCs w:val="24"/>
              </w:rPr>
              <w:t>Darbo saugos taisyklės pieno supirkėjams.</w:t>
            </w:r>
          </w:p>
        </w:tc>
        <w:tc>
          <w:tcPr>
            <w:tcW w:w="5238" w:type="dxa"/>
            <w:tcBorders>
              <w:top w:val="single" w:sz="4" w:space="0" w:color="auto"/>
              <w:bottom w:val="single" w:sz="4" w:space="0" w:color="auto"/>
            </w:tcBorders>
            <w:vAlign w:val="center"/>
          </w:tcPr>
          <w:p w14:paraId="688B5943" w14:textId="32F14861" w:rsidR="00C3311C" w:rsidRPr="00C3311C" w:rsidRDefault="00C3311C" w:rsidP="00C3311C">
            <w:pPr>
              <w:autoSpaceDE w:val="0"/>
              <w:autoSpaceDN w:val="0"/>
              <w:adjustRightInd w:val="0"/>
              <w:jc w:val="center"/>
              <w:rPr>
                <w:rFonts w:ascii="Times New Roman" w:hAnsi="Times New Roman" w:cs="Times New Roman"/>
                <w:b/>
                <w:bCs/>
                <w:sz w:val="24"/>
                <w:szCs w:val="24"/>
              </w:rPr>
            </w:pPr>
            <w:r w:rsidRPr="00C3311C">
              <w:rPr>
                <w:rFonts w:ascii="Times New Roman" w:hAnsi="Times New Roman" w:cs="Times New Roman"/>
                <w:sz w:val="24"/>
                <w:szCs w:val="24"/>
              </w:rPr>
              <w:t>0,5</w:t>
            </w:r>
          </w:p>
        </w:tc>
      </w:tr>
      <w:tr w:rsidR="0099152F" w:rsidRPr="00F902F8" w14:paraId="0F0529E0" w14:textId="77777777" w:rsidTr="00C3311C">
        <w:trPr>
          <w:trHeight w:val="558"/>
        </w:trPr>
        <w:tc>
          <w:tcPr>
            <w:tcW w:w="5670" w:type="dxa"/>
            <w:vAlign w:val="center"/>
          </w:tcPr>
          <w:p w14:paraId="6852F9A7" w14:textId="6BCE88C5" w:rsidR="0099152F" w:rsidRPr="00C3311C" w:rsidRDefault="00B77800" w:rsidP="00C3311C">
            <w:pPr>
              <w:autoSpaceDE w:val="0"/>
              <w:autoSpaceDN w:val="0"/>
              <w:adjustRightInd w:val="0"/>
              <w:jc w:val="both"/>
              <w:rPr>
                <w:rFonts w:ascii="Times New Roman" w:hAnsi="Times New Roman" w:cs="Times New Roman"/>
                <w:iCs/>
                <w:sz w:val="24"/>
                <w:szCs w:val="24"/>
              </w:rPr>
            </w:pPr>
            <w:r>
              <w:rPr>
                <w:rFonts w:ascii="Times New Roman" w:hAnsi="Times New Roman" w:cs="Times New Roman"/>
                <w:iCs/>
                <w:sz w:val="24"/>
                <w:szCs w:val="24"/>
              </w:rPr>
              <w:t>Baigiamasis žinių vertinimas</w:t>
            </w:r>
            <w:r w:rsidR="00C17F9C">
              <w:rPr>
                <w:rFonts w:ascii="Times New Roman" w:hAnsi="Times New Roman" w:cs="Times New Roman"/>
                <w:iCs/>
                <w:sz w:val="24"/>
                <w:szCs w:val="24"/>
              </w:rPr>
              <w:t>.</w:t>
            </w:r>
          </w:p>
        </w:tc>
        <w:tc>
          <w:tcPr>
            <w:tcW w:w="5238" w:type="dxa"/>
            <w:tcBorders>
              <w:top w:val="single" w:sz="4" w:space="0" w:color="auto"/>
              <w:bottom w:val="single" w:sz="4" w:space="0" w:color="auto"/>
            </w:tcBorders>
            <w:vAlign w:val="center"/>
          </w:tcPr>
          <w:p w14:paraId="52407CEB" w14:textId="726C0ECC" w:rsidR="0099152F" w:rsidRPr="00C3311C" w:rsidRDefault="00B77800" w:rsidP="00C3311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0,5</w:t>
            </w:r>
          </w:p>
        </w:tc>
      </w:tr>
    </w:tbl>
    <w:p w14:paraId="6219FEA6" w14:textId="77777777" w:rsidR="00AD5B77" w:rsidRPr="00F902F8" w:rsidRDefault="00AD5B77" w:rsidP="00422F68">
      <w:pPr>
        <w:rPr>
          <w:rFonts w:ascii="Times New Roman" w:hAnsi="Times New Roman" w:cs="Times New Roman"/>
        </w:rPr>
      </w:pPr>
    </w:p>
    <w:sectPr w:rsidR="00AD5B77" w:rsidRPr="00F902F8" w:rsidSect="00336136">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A42C9"/>
    <w:multiLevelType w:val="hybridMultilevel"/>
    <w:tmpl w:val="EA5A3B66"/>
    <w:lvl w:ilvl="0" w:tplc="4474654E">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3DD72719"/>
    <w:multiLevelType w:val="hybridMultilevel"/>
    <w:tmpl w:val="E09C3BF8"/>
    <w:lvl w:ilvl="0" w:tplc="7CDCA6CE">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16cid:durableId="2094935466">
    <w:abstractNumId w:val="1"/>
  </w:num>
  <w:num w:numId="2" w16cid:durableId="852568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848"/>
    <w:rsid w:val="00010159"/>
    <w:rsid w:val="000214E9"/>
    <w:rsid w:val="000356F5"/>
    <w:rsid w:val="000360A6"/>
    <w:rsid w:val="00070CD9"/>
    <w:rsid w:val="00070E79"/>
    <w:rsid w:val="00076C14"/>
    <w:rsid w:val="000773C3"/>
    <w:rsid w:val="00077FF2"/>
    <w:rsid w:val="00090C59"/>
    <w:rsid w:val="000A714C"/>
    <w:rsid w:val="000A7532"/>
    <w:rsid w:val="000C1C2C"/>
    <w:rsid w:val="000C5336"/>
    <w:rsid w:val="000C5E70"/>
    <w:rsid w:val="000D34E2"/>
    <w:rsid w:val="000D7236"/>
    <w:rsid w:val="000F53A5"/>
    <w:rsid w:val="00100FA5"/>
    <w:rsid w:val="00101578"/>
    <w:rsid w:val="00104B7D"/>
    <w:rsid w:val="00114772"/>
    <w:rsid w:val="00127A4E"/>
    <w:rsid w:val="00132E63"/>
    <w:rsid w:val="00150522"/>
    <w:rsid w:val="0017622B"/>
    <w:rsid w:val="001A0DDF"/>
    <w:rsid w:val="001A5CD3"/>
    <w:rsid w:val="001A7EE1"/>
    <w:rsid w:val="001B23C8"/>
    <w:rsid w:val="001D14A9"/>
    <w:rsid w:val="002157B6"/>
    <w:rsid w:val="00224E4D"/>
    <w:rsid w:val="0023532A"/>
    <w:rsid w:val="00235532"/>
    <w:rsid w:val="00241000"/>
    <w:rsid w:val="0025117D"/>
    <w:rsid w:val="00254021"/>
    <w:rsid w:val="00256ECB"/>
    <w:rsid w:val="002574E2"/>
    <w:rsid w:val="0028136A"/>
    <w:rsid w:val="002840AF"/>
    <w:rsid w:val="002919EC"/>
    <w:rsid w:val="002C5138"/>
    <w:rsid w:val="002C732B"/>
    <w:rsid w:val="002D7F7A"/>
    <w:rsid w:val="002E05D7"/>
    <w:rsid w:val="002E17DF"/>
    <w:rsid w:val="002E4B74"/>
    <w:rsid w:val="002F7188"/>
    <w:rsid w:val="002F7C13"/>
    <w:rsid w:val="00300B91"/>
    <w:rsid w:val="0032214D"/>
    <w:rsid w:val="0033017F"/>
    <w:rsid w:val="00332F24"/>
    <w:rsid w:val="00336136"/>
    <w:rsid w:val="00373215"/>
    <w:rsid w:val="00397F67"/>
    <w:rsid w:val="003B5CB0"/>
    <w:rsid w:val="004212B1"/>
    <w:rsid w:val="00422F68"/>
    <w:rsid w:val="00426A86"/>
    <w:rsid w:val="004367C8"/>
    <w:rsid w:val="00444DED"/>
    <w:rsid w:val="0044676F"/>
    <w:rsid w:val="00482D5C"/>
    <w:rsid w:val="004A3BFF"/>
    <w:rsid w:val="004D1B60"/>
    <w:rsid w:val="004E2D5D"/>
    <w:rsid w:val="005017D6"/>
    <w:rsid w:val="00512FC9"/>
    <w:rsid w:val="005157DD"/>
    <w:rsid w:val="00527043"/>
    <w:rsid w:val="00534399"/>
    <w:rsid w:val="00537178"/>
    <w:rsid w:val="00546A01"/>
    <w:rsid w:val="00560A59"/>
    <w:rsid w:val="00561FD1"/>
    <w:rsid w:val="00570619"/>
    <w:rsid w:val="005B1331"/>
    <w:rsid w:val="005B694D"/>
    <w:rsid w:val="005B7E9E"/>
    <w:rsid w:val="005C2AD1"/>
    <w:rsid w:val="006010C7"/>
    <w:rsid w:val="00607099"/>
    <w:rsid w:val="006122CA"/>
    <w:rsid w:val="0062195A"/>
    <w:rsid w:val="00647107"/>
    <w:rsid w:val="00653F53"/>
    <w:rsid w:val="00660AA5"/>
    <w:rsid w:val="006721A5"/>
    <w:rsid w:val="00687A9E"/>
    <w:rsid w:val="00687F01"/>
    <w:rsid w:val="00691F23"/>
    <w:rsid w:val="006B1F02"/>
    <w:rsid w:val="006D4F10"/>
    <w:rsid w:val="006E4A25"/>
    <w:rsid w:val="00701429"/>
    <w:rsid w:val="007015C7"/>
    <w:rsid w:val="0070441D"/>
    <w:rsid w:val="007070D7"/>
    <w:rsid w:val="00710AA0"/>
    <w:rsid w:val="007323A2"/>
    <w:rsid w:val="00747977"/>
    <w:rsid w:val="007651BC"/>
    <w:rsid w:val="00775CE9"/>
    <w:rsid w:val="0078220B"/>
    <w:rsid w:val="00797499"/>
    <w:rsid w:val="007B0C0C"/>
    <w:rsid w:val="007C7DAD"/>
    <w:rsid w:val="007C7DED"/>
    <w:rsid w:val="007D5DA7"/>
    <w:rsid w:val="0080772B"/>
    <w:rsid w:val="00813F35"/>
    <w:rsid w:val="00820AE6"/>
    <w:rsid w:val="00823174"/>
    <w:rsid w:val="0083315B"/>
    <w:rsid w:val="00847529"/>
    <w:rsid w:val="00850D21"/>
    <w:rsid w:val="0085478F"/>
    <w:rsid w:val="00871BEB"/>
    <w:rsid w:val="008742C4"/>
    <w:rsid w:val="00884CBF"/>
    <w:rsid w:val="008A1AE2"/>
    <w:rsid w:val="008A3DA4"/>
    <w:rsid w:val="008A5144"/>
    <w:rsid w:val="008A74F8"/>
    <w:rsid w:val="008B313A"/>
    <w:rsid w:val="008F31D1"/>
    <w:rsid w:val="00906ACD"/>
    <w:rsid w:val="0091585C"/>
    <w:rsid w:val="009216A6"/>
    <w:rsid w:val="00923F8D"/>
    <w:rsid w:val="00936E82"/>
    <w:rsid w:val="0096456C"/>
    <w:rsid w:val="009677A7"/>
    <w:rsid w:val="00971C19"/>
    <w:rsid w:val="009778DF"/>
    <w:rsid w:val="0099152F"/>
    <w:rsid w:val="009940EE"/>
    <w:rsid w:val="009B4A29"/>
    <w:rsid w:val="00A01F38"/>
    <w:rsid w:val="00A439F4"/>
    <w:rsid w:val="00A50F70"/>
    <w:rsid w:val="00A5137D"/>
    <w:rsid w:val="00A567E5"/>
    <w:rsid w:val="00A65681"/>
    <w:rsid w:val="00A867FC"/>
    <w:rsid w:val="00AB1510"/>
    <w:rsid w:val="00AB239D"/>
    <w:rsid w:val="00AC1876"/>
    <w:rsid w:val="00AD5266"/>
    <w:rsid w:val="00AD5B77"/>
    <w:rsid w:val="00AD6C2B"/>
    <w:rsid w:val="00AE05F8"/>
    <w:rsid w:val="00AF2313"/>
    <w:rsid w:val="00AF2C10"/>
    <w:rsid w:val="00AF3A49"/>
    <w:rsid w:val="00B212E8"/>
    <w:rsid w:val="00B366B3"/>
    <w:rsid w:val="00B57A95"/>
    <w:rsid w:val="00B73832"/>
    <w:rsid w:val="00B74BA5"/>
    <w:rsid w:val="00B77800"/>
    <w:rsid w:val="00B80D35"/>
    <w:rsid w:val="00B9286D"/>
    <w:rsid w:val="00BA40A3"/>
    <w:rsid w:val="00BB5B06"/>
    <w:rsid w:val="00BB6078"/>
    <w:rsid w:val="00BC00AB"/>
    <w:rsid w:val="00BC08CF"/>
    <w:rsid w:val="00BC5665"/>
    <w:rsid w:val="00BF5BB4"/>
    <w:rsid w:val="00BF7570"/>
    <w:rsid w:val="00BF7A09"/>
    <w:rsid w:val="00C0267A"/>
    <w:rsid w:val="00C13B79"/>
    <w:rsid w:val="00C17F9C"/>
    <w:rsid w:val="00C31E55"/>
    <w:rsid w:val="00C3311C"/>
    <w:rsid w:val="00C36930"/>
    <w:rsid w:val="00C370A2"/>
    <w:rsid w:val="00C57B32"/>
    <w:rsid w:val="00C95543"/>
    <w:rsid w:val="00CD2FB7"/>
    <w:rsid w:val="00CD444B"/>
    <w:rsid w:val="00D04827"/>
    <w:rsid w:val="00D105C7"/>
    <w:rsid w:val="00D26E3B"/>
    <w:rsid w:val="00D5228E"/>
    <w:rsid w:val="00D53217"/>
    <w:rsid w:val="00D66C2C"/>
    <w:rsid w:val="00D67D0A"/>
    <w:rsid w:val="00D85160"/>
    <w:rsid w:val="00D861ED"/>
    <w:rsid w:val="00D87814"/>
    <w:rsid w:val="00D94E9C"/>
    <w:rsid w:val="00D95112"/>
    <w:rsid w:val="00D962A6"/>
    <w:rsid w:val="00DA53BE"/>
    <w:rsid w:val="00DC2E26"/>
    <w:rsid w:val="00DE6559"/>
    <w:rsid w:val="00DF720C"/>
    <w:rsid w:val="00E0096A"/>
    <w:rsid w:val="00E03CC9"/>
    <w:rsid w:val="00E32691"/>
    <w:rsid w:val="00E32FA7"/>
    <w:rsid w:val="00E33848"/>
    <w:rsid w:val="00E35922"/>
    <w:rsid w:val="00E402BD"/>
    <w:rsid w:val="00E71E69"/>
    <w:rsid w:val="00E71E6F"/>
    <w:rsid w:val="00E84613"/>
    <w:rsid w:val="00E85429"/>
    <w:rsid w:val="00E879BB"/>
    <w:rsid w:val="00E942FF"/>
    <w:rsid w:val="00E9731E"/>
    <w:rsid w:val="00EA3F23"/>
    <w:rsid w:val="00EA7589"/>
    <w:rsid w:val="00EC2D65"/>
    <w:rsid w:val="00EC53F8"/>
    <w:rsid w:val="00EE6D46"/>
    <w:rsid w:val="00EF1F09"/>
    <w:rsid w:val="00EF2982"/>
    <w:rsid w:val="00F041F1"/>
    <w:rsid w:val="00F06C65"/>
    <w:rsid w:val="00F2166E"/>
    <w:rsid w:val="00F23675"/>
    <w:rsid w:val="00F25B3E"/>
    <w:rsid w:val="00F32085"/>
    <w:rsid w:val="00F41CA2"/>
    <w:rsid w:val="00F65BEB"/>
    <w:rsid w:val="00F902F8"/>
    <w:rsid w:val="00FA4E28"/>
    <w:rsid w:val="00FA796D"/>
    <w:rsid w:val="00FB0BC5"/>
    <w:rsid w:val="00FB3ACF"/>
    <w:rsid w:val="00FB536C"/>
    <w:rsid w:val="00FE2C73"/>
    <w:rsid w:val="00FE6403"/>
    <w:rsid w:val="00FF0BC0"/>
    <w:rsid w:val="00FF54D5"/>
    <w:rsid w:val="00FF6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4489"/>
  <w15:docId w15:val="{F920638B-364B-4FDC-8C7C-956F2320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66C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qFormat/>
    <w:rsid w:val="00D66C2C"/>
    <w:pPr>
      <w:keepNext/>
      <w:spacing w:after="0" w:line="240" w:lineRule="auto"/>
      <w:jc w:val="center"/>
      <w:outlineLvl w:val="1"/>
    </w:pPr>
    <w:rPr>
      <w:rFonts w:ascii="Times New Roman" w:eastAsia="Times New Roman" w:hAnsi="Times New Roman" w:cs="Times New Roman"/>
      <w:b/>
      <w:bCs/>
      <w:sz w:val="28"/>
      <w:szCs w:val="24"/>
      <w:lang w:val="en-US"/>
    </w:rPr>
  </w:style>
  <w:style w:type="paragraph" w:styleId="Antrat4">
    <w:name w:val="heading 4"/>
    <w:basedOn w:val="prastasis"/>
    <w:next w:val="prastasis"/>
    <w:link w:val="Antrat4Diagrama"/>
    <w:uiPriority w:val="9"/>
    <w:semiHidden/>
    <w:unhideWhenUsed/>
    <w:qFormat/>
    <w:rsid w:val="008742C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qFormat/>
    <w:rsid w:val="00D105C7"/>
    <w:pPr>
      <w:keepNext/>
      <w:spacing w:after="0" w:line="240" w:lineRule="auto"/>
      <w:outlineLvl w:val="4"/>
    </w:pPr>
    <w:rPr>
      <w:rFonts w:ascii="Times New Roman" w:eastAsia="Times New Roman" w:hAnsi="Times New Roman" w:cs="Times New Roman"/>
      <w:color w:val="FF0000"/>
      <w:sz w:val="24"/>
      <w:szCs w:val="20"/>
    </w:rPr>
  </w:style>
  <w:style w:type="paragraph" w:styleId="Antrat8">
    <w:name w:val="heading 8"/>
    <w:basedOn w:val="prastasis"/>
    <w:next w:val="prastasis"/>
    <w:link w:val="Antrat8Diagrama"/>
    <w:uiPriority w:val="9"/>
    <w:semiHidden/>
    <w:unhideWhenUsed/>
    <w:qFormat/>
    <w:rsid w:val="00E32FA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qFormat/>
    <w:rsid w:val="00D66C2C"/>
    <w:pPr>
      <w:spacing w:before="240" w:after="60" w:line="240" w:lineRule="auto"/>
      <w:outlineLvl w:val="8"/>
    </w:pPr>
    <w:rPr>
      <w:rFonts w:ascii="Arial" w:eastAsia="Times New Roman"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33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BC00AB"/>
    <w:pPr>
      <w:spacing w:before="100" w:beforeAutospacing="1" w:after="100" w:afterAutospacing="1" w:line="240" w:lineRule="auto"/>
    </w:pPr>
    <w:rPr>
      <w:rFonts w:ascii="Verdana" w:eastAsia="Times New Roman" w:hAnsi="Verdana" w:cs="Times New Roman"/>
      <w:sz w:val="18"/>
      <w:szCs w:val="18"/>
      <w:lang w:val="en-US"/>
    </w:rPr>
  </w:style>
  <w:style w:type="paragraph" w:customStyle="1" w:styleId="Hyperlink1">
    <w:name w:val="Hyperlink1"/>
    <w:basedOn w:val="prastasis"/>
    <w:rsid w:val="00BC00A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Pavadinimas">
    <w:name w:val="Title"/>
    <w:basedOn w:val="prastasis"/>
    <w:link w:val="PavadinimasDiagrama"/>
    <w:qFormat/>
    <w:rsid w:val="008A74F8"/>
    <w:pPr>
      <w:spacing w:after="0" w:line="240" w:lineRule="auto"/>
      <w:jc w:val="center"/>
    </w:pPr>
    <w:rPr>
      <w:rFonts w:ascii="Times New Roman" w:eastAsia="Times New Roman" w:hAnsi="Times New Roman" w:cs="Times New Roman"/>
      <w:sz w:val="28"/>
      <w:szCs w:val="20"/>
    </w:rPr>
  </w:style>
  <w:style w:type="character" w:customStyle="1" w:styleId="PavadinimasDiagrama">
    <w:name w:val="Pavadinimas Diagrama"/>
    <w:basedOn w:val="Numatytasispastraiposriftas"/>
    <w:link w:val="Pavadinimas"/>
    <w:rsid w:val="008A74F8"/>
    <w:rPr>
      <w:rFonts w:ascii="Times New Roman" w:eastAsia="Times New Roman" w:hAnsi="Times New Roman" w:cs="Times New Roman"/>
      <w:sz w:val="28"/>
      <w:szCs w:val="20"/>
    </w:rPr>
  </w:style>
  <w:style w:type="paragraph" w:customStyle="1" w:styleId="NoParagraphStyle">
    <w:name w:val="[No Paragraph Style]"/>
    <w:rsid w:val="00332F24"/>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rPr>
  </w:style>
  <w:style w:type="paragraph" w:customStyle="1" w:styleId="BasicParagraph">
    <w:name w:val="[Basic Paragraph]"/>
    <w:basedOn w:val="NoParagraphStyle"/>
    <w:rsid w:val="00332F24"/>
    <w:pPr>
      <w:suppressAutoHyphens/>
    </w:pPr>
    <w:rPr>
      <w:rFonts w:ascii="Times New Roman" w:hAnsi="Times New Roman"/>
      <w:lang w:val="lt-LT"/>
    </w:rPr>
  </w:style>
  <w:style w:type="paragraph" w:customStyle="1" w:styleId="CentrBoldm">
    <w:name w:val="CentrBoldm"/>
    <w:basedOn w:val="prastasis"/>
    <w:rsid w:val="00332F24"/>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olor w:val="000000"/>
      <w:sz w:val="20"/>
      <w:szCs w:val="20"/>
    </w:rPr>
  </w:style>
  <w:style w:type="paragraph" w:styleId="Pagrindiniotekstotrauka">
    <w:name w:val="Body Text Indent"/>
    <w:basedOn w:val="prastasis"/>
    <w:link w:val="PagrindiniotekstotraukaDiagrama"/>
    <w:rsid w:val="00D105C7"/>
    <w:pPr>
      <w:spacing w:after="0" w:line="360" w:lineRule="auto"/>
      <w:ind w:firstLine="567"/>
      <w:jc w:val="both"/>
    </w:pPr>
    <w:rPr>
      <w:rFonts w:ascii="Times New Roman" w:eastAsia="Times New Roman" w:hAnsi="Times New Roman" w:cs="Times New Roman"/>
      <w:sz w:val="24"/>
      <w:szCs w:val="20"/>
      <w:lang w:val="x-none"/>
    </w:rPr>
  </w:style>
  <w:style w:type="character" w:customStyle="1" w:styleId="PagrindiniotekstotraukaDiagrama">
    <w:name w:val="Pagrindinio teksto įtrauka Diagrama"/>
    <w:basedOn w:val="Numatytasispastraiposriftas"/>
    <w:link w:val="Pagrindiniotekstotrauka"/>
    <w:rsid w:val="00D105C7"/>
    <w:rPr>
      <w:rFonts w:ascii="Times New Roman" w:eastAsia="Times New Roman" w:hAnsi="Times New Roman" w:cs="Times New Roman"/>
      <w:sz w:val="24"/>
      <w:szCs w:val="20"/>
      <w:lang w:val="x-none"/>
    </w:rPr>
  </w:style>
  <w:style w:type="character" w:customStyle="1" w:styleId="Antrat5Diagrama">
    <w:name w:val="Antraštė 5 Diagrama"/>
    <w:basedOn w:val="Numatytasispastraiposriftas"/>
    <w:link w:val="Antrat5"/>
    <w:rsid w:val="00D105C7"/>
    <w:rPr>
      <w:rFonts w:ascii="Times New Roman" w:eastAsia="Times New Roman" w:hAnsi="Times New Roman" w:cs="Times New Roman"/>
      <w:color w:val="FF0000"/>
      <w:sz w:val="24"/>
      <w:szCs w:val="20"/>
    </w:rPr>
  </w:style>
  <w:style w:type="character" w:customStyle="1" w:styleId="Antrat2Diagrama">
    <w:name w:val="Antraštė 2 Diagrama"/>
    <w:basedOn w:val="Numatytasispastraiposriftas"/>
    <w:link w:val="Antrat2"/>
    <w:rsid w:val="00D66C2C"/>
    <w:rPr>
      <w:rFonts w:ascii="Times New Roman" w:eastAsia="Times New Roman" w:hAnsi="Times New Roman" w:cs="Times New Roman"/>
      <w:b/>
      <w:bCs/>
      <w:sz w:val="28"/>
      <w:szCs w:val="24"/>
      <w:lang w:val="en-US"/>
    </w:rPr>
  </w:style>
  <w:style w:type="character" w:customStyle="1" w:styleId="Antrat9Diagrama">
    <w:name w:val="Antraštė 9 Diagrama"/>
    <w:basedOn w:val="Numatytasispastraiposriftas"/>
    <w:link w:val="Antrat9"/>
    <w:rsid w:val="00D66C2C"/>
    <w:rPr>
      <w:rFonts w:ascii="Arial" w:eastAsia="Times New Roman" w:hAnsi="Arial" w:cs="Arial"/>
    </w:rPr>
  </w:style>
  <w:style w:type="paragraph" w:customStyle="1" w:styleId="antraste">
    <w:name w:val="antraste"/>
    <w:basedOn w:val="Antrat1"/>
    <w:rsid w:val="00D66C2C"/>
    <w:pPr>
      <w:keepLines w:val="0"/>
      <w:spacing w:before="0" w:line="240" w:lineRule="auto"/>
      <w:jc w:val="center"/>
    </w:pPr>
    <w:rPr>
      <w:rFonts w:ascii="Times New Roman" w:eastAsia="Times New Roman" w:hAnsi="Times New Roman" w:cs="Times New Roman"/>
      <w:b/>
      <w:caps/>
      <w:color w:val="auto"/>
      <w:sz w:val="22"/>
      <w:szCs w:val="20"/>
    </w:rPr>
  </w:style>
  <w:style w:type="character" w:customStyle="1" w:styleId="Antrat1Diagrama">
    <w:name w:val="Antraštė 1 Diagrama"/>
    <w:basedOn w:val="Numatytasispastraiposriftas"/>
    <w:link w:val="Antrat1"/>
    <w:uiPriority w:val="9"/>
    <w:rsid w:val="00D66C2C"/>
    <w:rPr>
      <w:rFonts w:asciiTheme="majorHAnsi" w:eastAsiaTheme="majorEastAsia" w:hAnsiTheme="majorHAnsi" w:cstheme="majorBidi"/>
      <w:color w:val="365F91" w:themeColor="accent1" w:themeShade="BF"/>
      <w:sz w:val="32"/>
      <w:szCs w:val="32"/>
    </w:rPr>
  </w:style>
  <w:style w:type="paragraph" w:customStyle="1" w:styleId="WW-BodyText2">
    <w:name w:val="WW-Body Text 2"/>
    <w:basedOn w:val="prastasis"/>
    <w:rsid w:val="0078220B"/>
    <w:pPr>
      <w:suppressAutoHyphens/>
      <w:spacing w:after="0" w:line="360" w:lineRule="auto"/>
      <w:jc w:val="both"/>
    </w:pPr>
    <w:rPr>
      <w:rFonts w:ascii="Times New Roman" w:eastAsia="Times New Roman" w:hAnsi="Times New Roman" w:cs="Times New Roman"/>
      <w:b/>
      <w:sz w:val="24"/>
      <w:szCs w:val="20"/>
      <w:lang w:eastAsia="ar-SA"/>
    </w:rPr>
  </w:style>
  <w:style w:type="paragraph" w:styleId="Porat">
    <w:name w:val="footer"/>
    <w:basedOn w:val="prastasis"/>
    <w:link w:val="PoratDiagrama"/>
    <w:uiPriority w:val="99"/>
    <w:semiHidden/>
    <w:unhideWhenUsed/>
    <w:rsid w:val="00F902F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902F8"/>
  </w:style>
  <w:style w:type="paragraph" w:styleId="Komentarotekstas">
    <w:name w:val="annotation text"/>
    <w:basedOn w:val="prastasis"/>
    <w:link w:val="KomentarotekstasDiagrama"/>
    <w:uiPriority w:val="99"/>
    <w:qFormat/>
    <w:rsid w:val="00F902F8"/>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uiPriority w:val="99"/>
    <w:qFormat/>
    <w:rsid w:val="00F902F8"/>
    <w:rPr>
      <w:rFonts w:ascii="Times New Roman" w:eastAsia="Times New Roman" w:hAnsi="Times New Roman" w:cs="Times New Roman"/>
      <w:sz w:val="20"/>
      <w:szCs w:val="20"/>
      <w:lang w:val="x-none"/>
    </w:rPr>
  </w:style>
  <w:style w:type="character" w:customStyle="1" w:styleId="Antrat8Diagrama">
    <w:name w:val="Antraštė 8 Diagrama"/>
    <w:basedOn w:val="Numatytasispastraiposriftas"/>
    <w:link w:val="Antrat8"/>
    <w:uiPriority w:val="9"/>
    <w:semiHidden/>
    <w:rsid w:val="00E32FA7"/>
    <w:rPr>
      <w:rFonts w:asciiTheme="majorHAnsi" w:eastAsiaTheme="majorEastAsia" w:hAnsiTheme="majorHAnsi" w:cstheme="majorBidi"/>
      <w:color w:val="272727" w:themeColor="text1" w:themeTint="D8"/>
      <w:sz w:val="21"/>
      <w:szCs w:val="21"/>
    </w:rPr>
  </w:style>
  <w:style w:type="character" w:customStyle="1" w:styleId="Antrat4Diagrama">
    <w:name w:val="Antraštė 4 Diagrama"/>
    <w:basedOn w:val="Numatytasispastraiposriftas"/>
    <w:link w:val="Antrat4"/>
    <w:uiPriority w:val="9"/>
    <w:semiHidden/>
    <w:rsid w:val="008742C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1839</TotalTime>
  <Pages>3</Pages>
  <Words>4074</Words>
  <Characters>2323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Jūratė Spruntulienė</cp:lastModifiedBy>
  <cp:revision>227</cp:revision>
  <dcterms:created xsi:type="dcterms:W3CDTF">2014-01-29T07:43:00Z</dcterms:created>
  <dcterms:modified xsi:type="dcterms:W3CDTF">2025-04-02T10:57:00Z</dcterms:modified>
</cp:coreProperties>
</file>